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220A" w14:textId="3B1DC026" w:rsidR="00522BE4" w:rsidRPr="00585000" w:rsidRDefault="00927B90" w:rsidP="0032632E">
      <w:pPr>
        <w:pStyle w:val="BodyText"/>
        <w:spacing w:before="7"/>
        <w:ind w:firstLine="426"/>
        <w:jc w:val="both"/>
        <w:rPr>
          <w:rFonts w:ascii="Arial" w:hAnsi="Arial" w:cs="Arial"/>
          <w:b/>
          <w:color w:val="1F497D" w:themeColor="text2"/>
          <w:sz w:val="24"/>
          <w:lang w:val="en-GB"/>
        </w:rPr>
      </w:pPr>
      <w:r w:rsidRPr="00585000">
        <w:rPr>
          <w:rFonts w:ascii="Arial" w:hAnsi="Arial" w:cs="Arial"/>
          <w:b/>
          <w:color w:val="1F497D" w:themeColor="text2"/>
          <w:sz w:val="24"/>
          <w:lang w:val="en-GB"/>
        </w:rPr>
        <w:t>London Borough of Southwark Pension Fund</w:t>
      </w:r>
      <w:r w:rsidR="008560A9" w:rsidRPr="00585000">
        <w:rPr>
          <w:rFonts w:ascii="Arial" w:hAnsi="Arial" w:cs="Arial"/>
          <w:b/>
          <w:color w:val="1F497D" w:themeColor="text2"/>
          <w:sz w:val="24"/>
          <w:lang w:val="en-GB"/>
        </w:rPr>
        <w:t xml:space="preserve"> – Responsible Investment Policy</w:t>
      </w:r>
    </w:p>
    <w:p w14:paraId="1559E360" w14:textId="77777777" w:rsidR="00467020" w:rsidRPr="00585000" w:rsidRDefault="00467020" w:rsidP="0032632E">
      <w:pPr>
        <w:pStyle w:val="BodyText"/>
        <w:spacing w:before="7"/>
        <w:jc w:val="both"/>
        <w:rPr>
          <w:rFonts w:ascii="Arial" w:hAnsi="Arial" w:cs="Arial"/>
          <w:lang w:val="en-GB"/>
        </w:rPr>
      </w:pPr>
    </w:p>
    <w:p w14:paraId="49F57313" w14:textId="77777777" w:rsidR="00522BE4" w:rsidRPr="00585000" w:rsidRDefault="007279AB" w:rsidP="0032632E">
      <w:pPr>
        <w:pStyle w:val="BodyText"/>
        <w:numPr>
          <w:ilvl w:val="0"/>
          <w:numId w:val="10"/>
        </w:numPr>
        <w:spacing w:before="1" w:line="242" w:lineRule="auto"/>
        <w:ind w:left="709" w:right="960" w:hanging="283"/>
        <w:jc w:val="both"/>
        <w:rPr>
          <w:rFonts w:ascii="Arial" w:hAnsi="Arial" w:cs="Arial"/>
          <w:b/>
          <w:w w:val="105"/>
          <w:lang w:val="en-GB"/>
        </w:rPr>
      </w:pPr>
      <w:r w:rsidRPr="00585000">
        <w:rPr>
          <w:rFonts w:ascii="Arial" w:hAnsi="Arial" w:cs="Arial"/>
          <w:b/>
          <w:w w:val="105"/>
          <w:lang w:val="en-GB"/>
        </w:rPr>
        <w:t xml:space="preserve">Policy </w:t>
      </w:r>
      <w:r w:rsidR="00F65F93" w:rsidRPr="00585000">
        <w:rPr>
          <w:rFonts w:ascii="Arial" w:hAnsi="Arial" w:cs="Arial"/>
          <w:b/>
          <w:w w:val="105"/>
          <w:lang w:val="en-GB"/>
        </w:rPr>
        <w:t>Introduction</w:t>
      </w:r>
      <w:r w:rsidR="000B44C2" w:rsidRPr="00585000">
        <w:rPr>
          <w:rFonts w:ascii="Arial" w:hAnsi="Arial" w:cs="Arial"/>
          <w:b/>
          <w:w w:val="105"/>
          <w:lang w:val="en-GB"/>
        </w:rPr>
        <w:t xml:space="preserve"> </w:t>
      </w:r>
    </w:p>
    <w:p w14:paraId="684C880D" w14:textId="77777777" w:rsidR="00522BE4" w:rsidRPr="00585000" w:rsidRDefault="00522BE4" w:rsidP="0032632E">
      <w:pPr>
        <w:pStyle w:val="BodyText"/>
        <w:spacing w:before="10"/>
        <w:jc w:val="both"/>
        <w:rPr>
          <w:rFonts w:ascii="Arial" w:hAnsi="Arial" w:cs="Arial"/>
          <w:b/>
          <w:lang w:val="en-GB"/>
        </w:rPr>
      </w:pPr>
    </w:p>
    <w:p w14:paraId="5B0C46FE" w14:textId="6B2A8E8D" w:rsidR="00E92043" w:rsidRPr="00585000" w:rsidRDefault="00B61A51" w:rsidP="0032632E">
      <w:pPr>
        <w:pStyle w:val="BodyText"/>
        <w:spacing w:before="1" w:line="242" w:lineRule="auto"/>
        <w:ind w:left="375" w:right="960"/>
        <w:jc w:val="both"/>
        <w:rPr>
          <w:rFonts w:ascii="Arial" w:hAnsi="Arial" w:cs="Arial"/>
          <w:w w:val="105"/>
          <w:lang w:val="en-GB"/>
        </w:rPr>
      </w:pPr>
      <w:r w:rsidRPr="00585000">
        <w:rPr>
          <w:rFonts w:ascii="Arial" w:hAnsi="Arial" w:cs="Arial"/>
          <w:w w:val="105"/>
          <w:lang w:val="en-GB"/>
        </w:rPr>
        <w:t xml:space="preserve">As a responsible investor, </w:t>
      </w:r>
      <w:r w:rsidR="00927B90" w:rsidRPr="00585000">
        <w:rPr>
          <w:rFonts w:ascii="Arial" w:hAnsi="Arial" w:cs="Arial"/>
          <w:w w:val="105"/>
          <w:lang w:val="en-GB"/>
        </w:rPr>
        <w:t xml:space="preserve">London Borough of Southwark </w:t>
      </w:r>
      <w:r w:rsidR="007279AB" w:rsidRPr="00585000">
        <w:rPr>
          <w:rFonts w:ascii="Arial" w:hAnsi="Arial" w:cs="Arial"/>
          <w:w w:val="105"/>
          <w:lang w:val="en-GB"/>
        </w:rPr>
        <w:t>Pension Fund (‘the Fund’</w:t>
      </w:r>
      <w:r w:rsidR="00343B26" w:rsidRPr="00585000">
        <w:rPr>
          <w:rFonts w:ascii="Arial" w:hAnsi="Arial" w:cs="Arial"/>
          <w:w w:val="105"/>
          <w:lang w:val="en-GB"/>
        </w:rPr>
        <w:t xml:space="preserve"> or ‘us’ or ‘we’</w:t>
      </w:r>
      <w:r w:rsidR="007279AB" w:rsidRPr="00585000">
        <w:rPr>
          <w:rFonts w:ascii="Arial" w:hAnsi="Arial" w:cs="Arial"/>
          <w:w w:val="105"/>
          <w:lang w:val="en-GB"/>
        </w:rPr>
        <w:t>)</w:t>
      </w:r>
      <w:r w:rsidRPr="00585000">
        <w:rPr>
          <w:rFonts w:ascii="Arial" w:hAnsi="Arial" w:cs="Arial"/>
          <w:w w:val="105"/>
          <w:lang w:val="en-GB"/>
        </w:rPr>
        <w:t xml:space="preserve"> recognise</w:t>
      </w:r>
      <w:r w:rsidR="00AD0A0B" w:rsidRPr="00585000">
        <w:rPr>
          <w:rFonts w:ascii="Arial" w:hAnsi="Arial" w:cs="Arial"/>
          <w:w w:val="105"/>
          <w:lang w:val="en-GB"/>
        </w:rPr>
        <w:t>s</w:t>
      </w:r>
      <w:r w:rsidRPr="00585000">
        <w:rPr>
          <w:rFonts w:ascii="Arial" w:hAnsi="Arial" w:cs="Arial"/>
          <w:w w:val="105"/>
          <w:lang w:val="en-GB"/>
        </w:rPr>
        <w:t xml:space="preserve"> that E</w:t>
      </w:r>
      <w:r w:rsidR="003A1760" w:rsidRPr="00585000">
        <w:rPr>
          <w:rFonts w:ascii="Arial" w:hAnsi="Arial" w:cs="Arial"/>
          <w:w w:val="105"/>
          <w:lang w:val="en-GB"/>
        </w:rPr>
        <w:t xml:space="preserve">nvironmental, Social and Governance (‘ESG’) </w:t>
      </w:r>
      <w:r w:rsidRPr="00585000">
        <w:rPr>
          <w:rFonts w:ascii="Arial" w:hAnsi="Arial" w:cs="Arial"/>
          <w:w w:val="105"/>
          <w:lang w:val="en-GB"/>
        </w:rPr>
        <w:t xml:space="preserve">factors are </w:t>
      </w:r>
      <w:r w:rsidR="00347428" w:rsidRPr="00585000">
        <w:rPr>
          <w:rFonts w:ascii="Arial" w:hAnsi="Arial" w:cs="Arial"/>
          <w:w w:val="105"/>
          <w:lang w:val="en-GB"/>
        </w:rPr>
        <w:t xml:space="preserve">an </w:t>
      </w:r>
      <w:r w:rsidRPr="00585000">
        <w:rPr>
          <w:rFonts w:ascii="Arial" w:hAnsi="Arial" w:cs="Arial"/>
          <w:w w:val="105"/>
          <w:lang w:val="en-GB"/>
        </w:rPr>
        <w:t>important</w:t>
      </w:r>
      <w:r w:rsidR="00347428" w:rsidRPr="00585000">
        <w:rPr>
          <w:rFonts w:ascii="Arial" w:hAnsi="Arial" w:cs="Arial"/>
          <w:w w:val="105"/>
          <w:lang w:val="en-GB"/>
        </w:rPr>
        <w:t xml:space="preserve"> </w:t>
      </w:r>
      <w:r w:rsidRPr="00585000">
        <w:rPr>
          <w:rFonts w:ascii="Arial" w:hAnsi="Arial" w:cs="Arial"/>
          <w:w w:val="105"/>
          <w:lang w:val="en-GB"/>
        </w:rPr>
        <w:t xml:space="preserve">part of the investment decision making process. </w:t>
      </w:r>
      <w:r w:rsidR="00952556">
        <w:rPr>
          <w:rFonts w:ascii="Arial" w:hAnsi="Arial" w:cs="Arial"/>
          <w:w w:val="105"/>
          <w:lang w:val="en-GB"/>
        </w:rPr>
        <w:t>We</w:t>
      </w:r>
      <w:r w:rsidR="00AD0A0B" w:rsidRPr="00585000">
        <w:rPr>
          <w:rFonts w:ascii="Arial" w:hAnsi="Arial" w:cs="Arial"/>
          <w:w w:val="105"/>
          <w:lang w:val="en-GB"/>
        </w:rPr>
        <w:t xml:space="preserve"> </w:t>
      </w:r>
      <w:r w:rsidRPr="00585000">
        <w:rPr>
          <w:rFonts w:ascii="Arial" w:hAnsi="Arial" w:cs="Arial"/>
          <w:w w:val="105"/>
          <w:lang w:val="en-GB"/>
        </w:rPr>
        <w:t xml:space="preserve">strongly believe that </w:t>
      </w:r>
      <w:r w:rsidR="001F2038">
        <w:rPr>
          <w:rFonts w:ascii="Arial" w:hAnsi="Arial" w:cs="Arial"/>
          <w:w w:val="105"/>
          <w:lang w:val="en-GB"/>
        </w:rPr>
        <w:t>climate change and other ESG parameters</w:t>
      </w:r>
      <w:r w:rsidR="001276B3">
        <w:rPr>
          <w:rFonts w:ascii="Arial" w:hAnsi="Arial" w:cs="Arial"/>
          <w:w w:val="105"/>
          <w:lang w:val="en-GB"/>
        </w:rPr>
        <w:t xml:space="preserve">, </w:t>
      </w:r>
      <w:r w:rsidR="003B7535">
        <w:rPr>
          <w:rFonts w:ascii="Arial" w:hAnsi="Arial" w:cs="Arial"/>
          <w:w w:val="105"/>
          <w:lang w:val="en-GB"/>
        </w:rPr>
        <w:t xml:space="preserve">e.g. human rights, </w:t>
      </w:r>
      <w:r w:rsidR="001F2038">
        <w:rPr>
          <w:rFonts w:ascii="Arial" w:hAnsi="Arial" w:cs="Arial"/>
          <w:w w:val="105"/>
          <w:lang w:val="en-GB"/>
        </w:rPr>
        <w:t xml:space="preserve">are </w:t>
      </w:r>
      <w:r w:rsidR="00B67624">
        <w:rPr>
          <w:rFonts w:ascii="Arial" w:hAnsi="Arial" w:cs="Arial"/>
          <w:w w:val="105"/>
          <w:lang w:val="en-GB"/>
        </w:rPr>
        <w:t xml:space="preserve">material </w:t>
      </w:r>
      <w:r w:rsidR="001F2038">
        <w:rPr>
          <w:rFonts w:ascii="Arial" w:hAnsi="Arial" w:cs="Arial"/>
          <w:w w:val="105"/>
          <w:lang w:val="en-GB"/>
        </w:rPr>
        <w:t xml:space="preserve">financial risks and </w:t>
      </w:r>
      <w:r w:rsidRPr="00585000">
        <w:rPr>
          <w:rFonts w:ascii="Arial" w:hAnsi="Arial" w:cs="Arial"/>
          <w:w w:val="105"/>
          <w:lang w:val="en-GB"/>
        </w:rPr>
        <w:t xml:space="preserve">integrating </w:t>
      </w:r>
      <w:r w:rsidR="001F2038">
        <w:rPr>
          <w:rFonts w:ascii="Arial" w:hAnsi="Arial" w:cs="Arial"/>
          <w:w w:val="105"/>
          <w:lang w:val="en-GB"/>
        </w:rPr>
        <w:t xml:space="preserve">these </w:t>
      </w:r>
      <w:r w:rsidRPr="00585000">
        <w:rPr>
          <w:rFonts w:ascii="Arial" w:hAnsi="Arial" w:cs="Arial"/>
          <w:w w:val="105"/>
          <w:lang w:val="en-GB"/>
        </w:rPr>
        <w:t>factors into the inv</w:t>
      </w:r>
      <w:r w:rsidR="008D0184" w:rsidRPr="00585000">
        <w:rPr>
          <w:rFonts w:ascii="Arial" w:hAnsi="Arial" w:cs="Arial"/>
          <w:w w:val="105"/>
          <w:lang w:val="en-GB"/>
        </w:rPr>
        <w:t>estment philosophy</w:t>
      </w:r>
      <w:r w:rsidR="00347428" w:rsidRPr="00585000">
        <w:rPr>
          <w:rFonts w:ascii="Arial" w:hAnsi="Arial" w:cs="Arial"/>
          <w:w w:val="105"/>
          <w:lang w:val="en-GB"/>
        </w:rPr>
        <w:t xml:space="preserve"> and decision-making process</w:t>
      </w:r>
      <w:r w:rsidR="008D0184" w:rsidRPr="00585000">
        <w:rPr>
          <w:rFonts w:ascii="Arial" w:hAnsi="Arial" w:cs="Arial"/>
          <w:w w:val="105"/>
          <w:lang w:val="en-GB"/>
        </w:rPr>
        <w:t xml:space="preserve"> will protect and improve the risk profile of </w:t>
      </w:r>
      <w:r w:rsidR="00952556">
        <w:rPr>
          <w:rFonts w:ascii="Arial" w:hAnsi="Arial" w:cs="Arial"/>
          <w:w w:val="105"/>
          <w:lang w:val="en-GB"/>
        </w:rPr>
        <w:t>the Fund’s</w:t>
      </w:r>
      <w:r w:rsidR="008D0184" w:rsidRPr="00585000">
        <w:rPr>
          <w:rFonts w:ascii="Arial" w:hAnsi="Arial" w:cs="Arial"/>
          <w:w w:val="105"/>
          <w:lang w:val="en-GB"/>
        </w:rPr>
        <w:t xml:space="preserve"> investments </w:t>
      </w:r>
      <w:r w:rsidRPr="00585000">
        <w:rPr>
          <w:rFonts w:ascii="Arial" w:hAnsi="Arial" w:cs="Arial"/>
          <w:w w:val="105"/>
          <w:lang w:val="en-GB"/>
        </w:rPr>
        <w:t xml:space="preserve">over the long term. </w:t>
      </w:r>
    </w:p>
    <w:p w14:paraId="010C6A2D" w14:textId="77777777" w:rsidR="00E92043" w:rsidRPr="00585000" w:rsidRDefault="00E92043" w:rsidP="0032632E">
      <w:pPr>
        <w:pStyle w:val="BodyText"/>
        <w:spacing w:before="1" w:line="242" w:lineRule="auto"/>
        <w:ind w:left="375" w:right="960"/>
        <w:jc w:val="both"/>
        <w:rPr>
          <w:rFonts w:ascii="Arial" w:hAnsi="Arial" w:cs="Arial"/>
          <w:w w:val="105"/>
          <w:lang w:val="en-GB"/>
        </w:rPr>
      </w:pPr>
    </w:p>
    <w:p w14:paraId="5451E30A" w14:textId="3D2ADD12" w:rsidR="00B61A51" w:rsidRPr="00585000" w:rsidRDefault="00B61A51" w:rsidP="0032632E">
      <w:pPr>
        <w:pStyle w:val="BodyText"/>
        <w:spacing w:before="1" w:line="242" w:lineRule="auto"/>
        <w:ind w:left="375" w:right="960"/>
        <w:jc w:val="both"/>
        <w:rPr>
          <w:rFonts w:ascii="Arial" w:hAnsi="Arial" w:cs="Arial"/>
          <w:w w:val="105"/>
          <w:lang w:val="en-GB"/>
        </w:rPr>
      </w:pPr>
      <w:r w:rsidRPr="00585000">
        <w:rPr>
          <w:rFonts w:ascii="Arial" w:hAnsi="Arial" w:cs="Arial"/>
          <w:w w:val="105"/>
          <w:lang w:val="en-GB"/>
        </w:rPr>
        <w:t>Through its investment</w:t>
      </w:r>
      <w:r w:rsidR="00AD0A0B" w:rsidRPr="00585000">
        <w:rPr>
          <w:rFonts w:ascii="Arial" w:hAnsi="Arial" w:cs="Arial"/>
          <w:w w:val="105"/>
          <w:lang w:val="en-GB"/>
        </w:rPr>
        <w:t>s</w:t>
      </w:r>
      <w:r w:rsidRPr="00585000">
        <w:rPr>
          <w:rFonts w:ascii="Arial" w:hAnsi="Arial" w:cs="Arial"/>
          <w:w w:val="105"/>
          <w:lang w:val="en-GB"/>
        </w:rPr>
        <w:t xml:space="preserve">, </w:t>
      </w:r>
      <w:r w:rsidR="00AD0A0B" w:rsidRPr="00585000">
        <w:rPr>
          <w:rFonts w:ascii="Arial" w:hAnsi="Arial" w:cs="Arial"/>
          <w:w w:val="105"/>
          <w:lang w:val="en-GB"/>
        </w:rPr>
        <w:t>the Fund is looking to generate</w:t>
      </w:r>
      <w:r w:rsidR="001C4E21" w:rsidRPr="00585000">
        <w:rPr>
          <w:rFonts w:ascii="Arial" w:hAnsi="Arial" w:cs="Arial"/>
          <w:w w:val="105"/>
          <w:lang w:val="en-GB"/>
        </w:rPr>
        <w:t xml:space="preserve"> </w:t>
      </w:r>
      <w:r w:rsidRPr="00585000">
        <w:rPr>
          <w:rFonts w:ascii="Arial" w:hAnsi="Arial" w:cs="Arial"/>
          <w:w w:val="105"/>
          <w:lang w:val="en-GB"/>
        </w:rPr>
        <w:t xml:space="preserve">positive social </w:t>
      </w:r>
      <w:r w:rsidR="00D554B8">
        <w:rPr>
          <w:rFonts w:ascii="Arial" w:hAnsi="Arial" w:cs="Arial"/>
          <w:w w:val="105"/>
          <w:lang w:val="en-GB"/>
        </w:rPr>
        <w:t>and</w:t>
      </w:r>
      <w:r w:rsidRPr="00585000">
        <w:rPr>
          <w:rFonts w:ascii="Arial" w:hAnsi="Arial" w:cs="Arial"/>
          <w:w w:val="105"/>
          <w:lang w:val="en-GB"/>
        </w:rPr>
        <w:t xml:space="preserve"> environmental impact within a framewor</w:t>
      </w:r>
      <w:r w:rsidR="00AD0A0B" w:rsidRPr="00585000">
        <w:rPr>
          <w:rFonts w:ascii="Arial" w:hAnsi="Arial" w:cs="Arial"/>
          <w:w w:val="105"/>
          <w:lang w:val="en-GB"/>
        </w:rPr>
        <w:t xml:space="preserve">k of prudence </w:t>
      </w:r>
      <w:r w:rsidR="00D554B8">
        <w:rPr>
          <w:rFonts w:ascii="Arial" w:hAnsi="Arial" w:cs="Arial"/>
          <w:w w:val="105"/>
          <w:lang w:val="en-GB"/>
        </w:rPr>
        <w:t>and</w:t>
      </w:r>
      <w:r w:rsidR="00AD0A0B" w:rsidRPr="00585000">
        <w:rPr>
          <w:rFonts w:ascii="Arial" w:hAnsi="Arial" w:cs="Arial"/>
          <w:w w:val="105"/>
          <w:lang w:val="en-GB"/>
        </w:rPr>
        <w:t xml:space="preserve"> fiduciary duty. </w:t>
      </w:r>
      <w:r w:rsidR="00347428" w:rsidRPr="00585000">
        <w:rPr>
          <w:rFonts w:ascii="Arial" w:hAnsi="Arial" w:cs="Arial"/>
          <w:w w:val="105"/>
          <w:lang w:val="en-GB"/>
        </w:rPr>
        <w:t xml:space="preserve">Ultimately, the Fund exists to pay the pensions of its members. However, managing ESG risks is an important contributor to the long-term financial health of the Fund. </w:t>
      </w:r>
    </w:p>
    <w:p w14:paraId="647FD44B" w14:textId="77777777" w:rsidR="00E92043" w:rsidRPr="00585000" w:rsidRDefault="00E92043" w:rsidP="0032632E">
      <w:pPr>
        <w:pStyle w:val="BodyText"/>
        <w:spacing w:before="1" w:line="242" w:lineRule="auto"/>
        <w:ind w:left="375" w:right="960"/>
        <w:jc w:val="both"/>
        <w:rPr>
          <w:rFonts w:ascii="Arial" w:hAnsi="Arial" w:cs="Arial"/>
          <w:w w:val="105"/>
          <w:lang w:val="en-GB"/>
        </w:rPr>
      </w:pPr>
    </w:p>
    <w:p w14:paraId="17002880" w14:textId="3B1B90C6" w:rsidR="00AD0A0B" w:rsidRPr="00585000" w:rsidRDefault="00B61A51" w:rsidP="0032632E">
      <w:pPr>
        <w:pStyle w:val="BodyText"/>
        <w:spacing w:before="1" w:line="242" w:lineRule="auto"/>
        <w:ind w:left="375" w:right="960"/>
        <w:jc w:val="both"/>
        <w:rPr>
          <w:rFonts w:ascii="Arial" w:hAnsi="Arial" w:cs="Arial"/>
          <w:w w:val="105"/>
          <w:lang w:val="en-GB"/>
        </w:rPr>
      </w:pPr>
      <w:r w:rsidRPr="00585000">
        <w:rPr>
          <w:rFonts w:ascii="Arial" w:hAnsi="Arial" w:cs="Arial"/>
          <w:w w:val="105"/>
          <w:lang w:val="en-GB"/>
        </w:rPr>
        <w:t>In line with the above investment belief, t</w:t>
      </w:r>
      <w:r w:rsidR="00C5368A" w:rsidRPr="00585000">
        <w:rPr>
          <w:rFonts w:ascii="Arial" w:hAnsi="Arial" w:cs="Arial"/>
          <w:w w:val="105"/>
          <w:lang w:val="en-GB"/>
        </w:rPr>
        <w:t>h</w:t>
      </w:r>
      <w:r w:rsidR="003A1760" w:rsidRPr="00585000">
        <w:rPr>
          <w:rFonts w:ascii="Arial" w:hAnsi="Arial" w:cs="Arial"/>
          <w:w w:val="105"/>
          <w:lang w:val="en-GB"/>
        </w:rPr>
        <w:t>is</w:t>
      </w:r>
      <w:r w:rsidR="00C5368A" w:rsidRPr="00585000">
        <w:rPr>
          <w:rFonts w:ascii="Arial" w:hAnsi="Arial" w:cs="Arial"/>
          <w:w w:val="105"/>
          <w:lang w:val="en-GB"/>
        </w:rPr>
        <w:t xml:space="preserve"> </w:t>
      </w:r>
      <w:r w:rsidR="00A67E62" w:rsidRPr="00585000">
        <w:rPr>
          <w:rFonts w:ascii="Arial" w:hAnsi="Arial" w:cs="Arial"/>
          <w:w w:val="105"/>
          <w:lang w:val="en-GB"/>
        </w:rPr>
        <w:t xml:space="preserve">Responsible Investment </w:t>
      </w:r>
      <w:r w:rsidR="00C5368A" w:rsidRPr="00585000">
        <w:rPr>
          <w:rFonts w:ascii="Arial" w:hAnsi="Arial" w:cs="Arial"/>
          <w:w w:val="105"/>
          <w:lang w:val="en-GB"/>
        </w:rPr>
        <w:t xml:space="preserve">Policy </w:t>
      </w:r>
      <w:r w:rsidR="00A67E62" w:rsidRPr="00585000">
        <w:rPr>
          <w:rFonts w:ascii="Arial" w:hAnsi="Arial" w:cs="Arial"/>
          <w:w w:val="105"/>
          <w:lang w:val="en-GB"/>
        </w:rPr>
        <w:t xml:space="preserve">(‘RI Policy’ or ‘the Policy’) </w:t>
      </w:r>
      <w:r w:rsidR="000B44C2" w:rsidRPr="00585000">
        <w:rPr>
          <w:rFonts w:ascii="Arial" w:hAnsi="Arial" w:cs="Arial"/>
          <w:w w:val="105"/>
          <w:lang w:val="en-GB"/>
        </w:rPr>
        <w:t xml:space="preserve">outlines </w:t>
      </w:r>
      <w:r w:rsidR="002340A2" w:rsidRPr="002340A2">
        <w:rPr>
          <w:rFonts w:ascii="Arial" w:hAnsi="Arial" w:cs="Arial"/>
          <w:w w:val="105"/>
          <w:lang w:val="en-GB"/>
        </w:rPr>
        <w:t>the actions we are taking to understand and manage ESG issues for the benefit of Fund members and other stakeholders. The aim is to protect the value of the Fund’s investments from ESG-related risks and capitalise on the investment opportunities that ESG issues, such as climate change, may provide</w:t>
      </w:r>
      <w:r w:rsidR="000B44C2" w:rsidRPr="00585000">
        <w:rPr>
          <w:rFonts w:ascii="Arial" w:hAnsi="Arial" w:cs="Arial"/>
          <w:w w:val="105"/>
          <w:lang w:val="en-GB"/>
        </w:rPr>
        <w:t xml:space="preserve">. </w:t>
      </w:r>
    </w:p>
    <w:p w14:paraId="7C1E7583" w14:textId="77777777" w:rsidR="00AD0A0B" w:rsidRPr="00585000" w:rsidRDefault="00AD0A0B" w:rsidP="0032632E">
      <w:pPr>
        <w:pStyle w:val="BodyText"/>
        <w:spacing w:before="1" w:line="242" w:lineRule="auto"/>
        <w:ind w:left="375" w:right="960"/>
        <w:jc w:val="both"/>
        <w:rPr>
          <w:rFonts w:ascii="Arial" w:hAnsi="Arial" w:cs="Arial"/>
          <w:w w:val="105"/>
          <w:lang w:val="en-GB"/>
        </w:rPr>
      </w:pPr>
    </w:p>
    <w:p w14:paraId="378F1994" w14:textId="4541BE8D" w:rsidR="000B44C2" w:rsidRDefault="007279AB" w:rsidP="0032632E">
      <w:pPr>
        <w:pStyle w:val="BodyText"/>
        <w:spacing w:before="1" w:line="242" w:lineRule="auto"/>
        <w:ind w:left="375" w:right="960"/>
        <w:jc w:val="both"/>
        <w:rPr>
          <w:rFonts w:ascii="Arial" w:hAnsi="Arial" w:cs="Arial"/>
          <w:w w:val="105"/>
          <w:lang w:val="en-GB"/>
        </w:rPr>
      </w:pPr>
      <w:r w:rsidRPr="00585000">
        <w:rPr>
          <w:rFonts w:ascii="Arial" w:hAnsi="Arial" w:cs="Arial"/>
          <w:w w:val="105"/>
          <w:lang w:val="en-GB"/>
        </w:rPr>
        <w:t>The Policy</w:t>
      </w:r>
      <w:r w:rsidR="000B44C2" w:rsidRPr="00585000">
        <w:rPr>
          <w:rFonts w:ascii="Arial" w:hAnsi="Arial" w:cs="Arial"/>
          <w:w w:val="105"/>
          <w:lang w:val="en-GB"/>
        </w:rPr>
        <w:t xml:space="preserve"> also covers operational </w:t>
      </w:r>
      <w:r w:rsidRPr="00585000">
        <w:rPr>
          <w:rFonts w:ascii="Arial" w:hAnsi="Arial" w:cs="Arial"/>
          <w:w w:val="105"/>
          <w:lang w:val="en-GB"/>
        </w:rPr>
        <w:t>aspects</w:t>
      </w:r>
      <w:r w:rsidR="000B44C2" w:rsidRPr="00585000">
        <w:rPr>
          <w:rFonts w:ascii="Arial" w:hAnsi="Arial" w:cs="Arial"/>
          <w:w w:val="105"/>
          <w:lang w:val="en-GB"/>
        </w:rPr>
        <w:t xml:space="preserve"> </w:t>
      </w:r>
      <w:r w:rsidR="001C4E21" w:rsidRPr="00585000">
        <w:rPr>
          <w:rFonts w:ascii="Arial" w:hAnsi="Arial" w:cs="Arial"/>
          <w:w w:val="105"/>
          <w:lang w:val="en-GB"/>
        </w:rPr>
        <w:t>such as</w:t>
      </w:r>
      <w:r w:rsidR="000B44C2" w:rsidRPr="00585000">
        <w:rPr>
          <w:rFonts w:ascii="Arial" w:hAnsi="Arial" w:cs="Arial"/>
          <w:w w:val="105"/>
          <w:lang w:val="en-GB"/>
        </w:rPr>
        <w:t xml:space="preserve"> </w:t>
      </w:r>
      <w:r w:rsidR="00AD6620" w:rsidRPr="00585000">
        <w:rPr>
          <w:rFonts w:ascii="Arial" w:hAnsi="Arial" w:cs="Arial"/>
          <w:w w:val="105"/>
          <w:lang w:val="en-GB"/>
        </w:rPr>
        <w:t>stewardship</w:t>
      </w:r>
      <w:r w:rsidR="00944546">
        <w:rPr>
          <w:rFonts w:ascii="Arial" w:hAnsi="Arial" w:cs="Arial"/>
          <w:w w:val="105"/>
          <w:lang w:val="en-GB"/>
        </w:rPr>
        <w:t xml:space="preserve"> </w:t>
      </w:r>
      <w:r w:rsidR="001C4E21" w:rsidRPr="00585000">
        <w:rPr>
          <w:rFonts w:ascii="Arial" w:hAnsi="Arial" w:cs="Arial"/>
          <w:w w:val="105"/>
          <w:lang w:val="en-GB"/>
        </w:rPr>
        <w:t xml:space="preserve">and </w:t>
      </w:r>
      <w:r w:rsidR="000B44C2" w:rsidRPr="00585000">
        <w:rPr>
          <w:rFonts w:ascii="Arial" w:hAnsi="Arial" w:cs="Arial"/>
          <w:w w:val="105"/>
          <w:lang w:val="en-GB"/>
        </w:rPr>
        <w:t>ongoing monitorin</w:t>
      </w:r>
      <w:r w:rsidR="00940D81" w:rsidRPr="00585000">
        <w:rPr>
          <w:rFonts w:ascii="Arial" w:hAnsi="Arial" w:cs="Arial"/>
          <w:w w:val="105"/>
          <w:lang w:val="en-GB"/>
        </w:rPr>
        <w:t xml:space="preserve">g of </w:t>
      </w:r>
      <w:r w:rsidR="008E4FC6">
        <w:rPr>
          <w:rFonts w:ascii="Arial" w:hAnsi="Arial" w:cs="Arial"/>
          <w:w w:val="105"/>
          <w:lang w:val="en-GB"/>
        </w:rPr>
        <w:t xml:space="preserve">ESG </w:t>
      </w:r>
      <w:r w:rsidR="00940D81" w:rsidRPr="00585000">
        <w:rPr>
          <w:rFonts w:ascii="Arial" w:hAnsi="Arial" w:cs="Arial"/>
          <w:w w:val="105"/>
          <w:lang w:val="en-GB"/>
        </w:rPr>
        <w:t>issues and</w:t>
      </w:r>
      <w:r w:rsidR="000B44C2" w:rsidRPr="00585000">
        <w:rPr>
          <w:rFonts w:ascii="Arial" w:hAnsi="Arial" w:cs="Arial"/>
          <w:w w:val="105"/>
          <w:lang w:val="en-GB"/>
        </w:rPr>
        <w:t xml:space="preserve"> </w:t>
      </w:r>
      <w:r w:rsidR="008E4FC6">
        <w:rPr>
          <w:rFonts w:ascii="Arial" w:hAnsi="Arial" w:cs="Arial"/>
          <w:w w:val="105"/>
          <w:lang w:val="en-GB"/>
        </w:rPr>
        <w:t xml:space="preserve">its </w:t>
      </w:r>
      <w:r w:rsidR="00940D81" w:rsidRPr="00585000">
        <w:rPr>
          <w:rFonts w:ascii="Arial" w:hAnsi="Arial" w:cs="Arial"/>
          <w:w w:val="105"/>
          <w:lang w:val="en-GB"/>
        </w:rPr>
        <w:t>reporting.</w:t>
      </w:r>
    </w:p>
    <w:p w14:paraId="56EDD566" w14:textId="77777777" w:rsidR="001B1B1A" w:rsidRDefault="001B1B1A" w:rsidP="0032632E">
      <w:pPr>
        <w:pStyle w:val="BodyText"/>
        <w:spacing w:before="1" w:line="242" w:lineRule="auto"/>
        <w:ind w:left="375" w:right="960"/>
        <w:jc w:val="both"/>
        <w:rPr>
          <w:rFonts w:ascii="Arial" w:hAnsi="Arial" w:cs="Arial"/>
          <w:w w:val="105"/>
          <w:lang w:val="en-GB"/>
        </w:rPr>
      </w:pPr>
    </w:p>
    <w:p w14:paraId="6273C53E" w14:textId="4A75876F" w:rsidR="001B1B1A" w:rsidRPr="00585000" w:rsidRDefault="001B1B1A" w:rsidP="0032632E">
      <w:pPr>
        <w:pStyle w:val="BodyText"/>
        <w:spacing w:before="1" w:line="242" w:lineRule="auto"/>
        <w:ind w:left="375" w:right="960"/>
        <w:jc w:val="both"/>
        <w:rPr>
          <w:rFonts w:ascii="Arial" w:hAnsi="Arial" w:cs="Arial"/>
          <w:w w:val="105"/>
          <w:lang w:val="en-GB"/>
        </w:rPr>
      </w:pPr>
      <w:r>
        <w:rPr>
          <w:rFonts w:ascii="Arial" w:hAnsi="Arial" w:cs="Arial"/>
          <w:w w:val="105"/>
          <w:lang w:val="en-GB"/>
        </w:rPr>
        <w:t xml:space="preserve">An earlier version of the Policy was </w:t>
      </w:r>
      <w:r w:rsidR="0054104E">
        <w:rPr>
          <w:rFonts w:ascii="Arial" w:hAnsi="Arial" w:cs="Arial"/>
          <w:w w:val="105"/>
          <w:lang w:val="en-GB"/>
        </w:rPr>
        <w:t xml:space="preserve">implemented </w:t>
      </w:r>
      <w:r>
        <w:rPr>
          <w:rFonts w:ascii="Arial" w:hAnsi="Arial" w:cs="Arial"/>
          <w:w w:val="105"/>
          <w:lang w:val="en-GB"/>
        </w:rPr>
        <w:t>by the Fund in September 2023. Th</w:t>
      </w:r>
      <w:r w:rsidR="00351267">
        <w:rPr>
          <w:rFonts w:ascii="Arial" w:hAnsi="Arial" w:cs="Arial"/>
          <w:w w:val="105"/>
          <w:lang w:val="en-GB"/>
        </w:rPr>
        <w:t>e</w:t>
      </w:r>
      <w:r>
        <w:rPr>
          <w:rFonts w:ascii="Arial" w:hAnsi="Arial" w:cs="Arial"/>
          <w:w w:val="105"/>
          <w:lang w:val="en-GB"/>
        </w:rPr>
        <w:t xml:space="preserve"> </w:t>
      </w:r>
      <w:r w:rsidR="00351267">
        <w:rPr>
          <w:rFonts w:ascii="Arial" w:hAnsi="Arial" w:cs="Arial"/>
          <w:w w:val="105"/>
          <w:lang w:val="en-GB"/>
        </w:rPr>
        <w:t xml:space="preserve">Policy </w:t>
      </w:r>
      <w:r w:rsidR="0054104E">
        <w:rPr>
          <w:rFonts w:ascii="Arial" w:hAnsi="Arial" w:cs="Arial"/>
          <w:w w:val="105"/>
          <w:lang w:val="en-GB"/>
        </w:rPr>
        <w:t>was</w:t>
      </w:r>
      <w:r>
        <w:rPr>
          <w:rFonts w:ascii="Arial" w:hAnsi="Arial" w:cs="Arial"/>
          <w:w w:val="105"/>
          <w:lang w:val="en-GB"/>
        </w:rPr>
        <w:t xml:space="preserve"> </w:t>
      </w:r>
      <w:r w:rsidR="00351267">
        <w:rPr>
          <w:rFonts w:ascii="Arial" w:hAnsi="Arial" w:cs="Arial"/>
          <w:w w:val="105"/>
          <w:lang w:val="en-GB"/>
        </w:rPr>
        <w:t xml:space="preserve">revised and subsequently </w:t>
      </w:r>
      <w:r w:rsidR="00351267" w:rsidRPr="00585000">
        <w:rPr>
          <w:rFonts w:ascii="Arial" w:hAnsi="Arial" w:cs="Arial"/>
          <w:w w:val="105"/>
          <w:lang w:val="en-GB"/>
        </w:rPr>
        <w:t>reviewed and a</w:t>
      </w:r>
      <w:r w:rsidR="00351267">
        <w:rPr>
          <w:rFonts w:ascii="Arial" w:hAnsi="Arial" w:cs="Arial"/>
          <w:w w:val="105"/>
          <w:lang w:val="en-GB"/>
        </w:rPr>
        <w:t xml:space="preserve">pproved </w:t>
      </w:r>
      <w:r w:rsidR="00351267" w:rsidRPr="00585000">
        <w:rPr>
          <w:rFonts w:ascii="Arial" w:hAnsi="Arial" w:cs="Arial"/>
          <w:w w:val="105"/>
          <w:lang w:val="en-GB"/>
        </w:rPr>
        <w:t>by the Fund’s Pensions Advisory Panel</w:t>
      </w:r>
      <w:r w:rsidR="00EF0EFB">
        <w:rPr>
          <w:rFonts w:ascii="Arial" w:hAnsi="Arial" w:cs="Arial"/>
          <w:w w:val="105"/>
          <w:lang w:val="en-GB"/>
        </w:rPr>
        <w:t xml:space="preserve"> (PAP)</w:t>
      </w:r>
      <w:r w:rsidR="00351267">
        <w:rPr>
          <w:rFonts w:ascii="Arial" w:hAnsi="Arial" w:cs="Arial"/>
          <w:w w:val="105"/>
          <w:lang w:val="en-GB"/>
        </w:rPr>
        <w:t xml:space="preserve"> in March 2026</w:t>
      </w:r>
      <w:r w:rsidR="00351267" w:rsidRPr="00585000">
        <w:rPr>
          <w:rFonts w:ascii="Arial" w:hAnsi="Arial" w:cs="Arial"/>
          <w:w w:val="105"/>
          <w:lang w:val="en-GB"/>
        </w:rPr>
        <w:t>.</w:t>
      </w:r>
    </w:p>
    <w:p w14:paraId="07D50754" w14:textId="77777777" w:rsidR="00F65F93" w:rsidRPr="00585000" w:rsidRDefault="00F65F93" w:rsidP="0032632E">
      <w:pPr>
        <w:pStyle w:val="BodyText"/>
        <w:spacing w:before="1" w:line="242" w:lineRule="auto"/>
        <w:ind w:left="375" w:right="960"/>
        <w:jc w:val="both"/>
        <w:rPr>
          <w:rFonts w:ascii="Arial" w:hAnsi="Arial" w:cs="Arial"/>
          <w:w w:val="105"/>
          <w:lang w:val="en-GB"/>
        </w:rPr>
      </w:pPr>
    </w:p>
    <w:p w14:paraId="2AC7E90B" w14:textId="67956C03" w:rsidR="008560A9" w:rsidRPr="00585000" w:rsidRDefault="008560A9" w:rsidP="0032632E">
      <w:pPr>
        <w:pStyle w:val="BodyText"/>
        <w:numPr>
          <w:ilvl w:val="0"/>
          <w:numId w:val="10"/>
        </w:numPr>
        <w:spacing w:before="1" w:line="242" w:lineRule="auto"/>
        <w:ind w:left="709" w:right="960" w:hanging="283"/>
        <w:jc w:val="both"/>
        <w:rPr>
          <w:rFonts w:ascii="Arial" w:hAnsi="Arial" w:cs="Arial"/>
          <w:b/>
          <w:w w:val="105"/>
          <w:lang w:val="en-GB"/>
        </w:rPr>
      </w:pPr>
      <w:r w:rsidRPr="00585000">
        <w:rPr>
          <w:rFonts w:ascii="Arial" w:hAnsi="Arial" w:cs="Arial"/>
          <w:b/>
          <w:w w:val="105"/>
          <w:lang w:val="en-GB"/>
        </w:rPr>
        <w:t xml:space="preserve">Policy Scope </w:t>
      </w:r>
    </w:p>
    <w:p w14:paraId="52441972" w14:textId="77777777" w:rsidR="008560A9" w:rsidRPr="00585000" w:rsidRDefault="008560A9" w:rsidP="0032632E">
      <w:pPr>
        <w:pStyle w:val="BodyText"/>
        <w:spacing w:before="1" w:line="242" w:lineRule="auto"/>
        <w:ind w:left="375" w:right="960"/>
        <w:jc w:val="both"/>
        <w:rPr>
          <w:rFonts w:ascii="Arial" w:hAnsi="Arial" w:cs="Arial"/>
          <w:w w:val="105"/>
          <w:lang w:val="en-GB"/>
        </w:rPr>
      </w:pPr>
    </w:p>
    <w:p w14:paraId="4210E704" w14:textId="290B8063" w:rsidR="00D66FB4" w:rsidRDefault="00D90478" w:rsidP="0032632E">
      <w:pPr>
        <w:pStyle w:val="BodyText"/>
        <w:spacing w:before="1" w:after="240" w:line="242" w:lineRule="auto"/>
        <w:ind w:left="375" w:right="960"/>
        <w:jc w:val="both"/>
        <w:rPr>
          <w:rFonts w:ascii="Arial" w:hAnsi="Arial" w:cs="Arial"/>
          <w:b/>
          <w:sz w:val="16"/>
          <w:szCs w:val="16"/>
        </w:rPr>
      </w:pPr>
      <w:r w:rsidRPr="00585000">
        <w:rPr>
          <w:rFonts w:ascii="Arial" w:hAnsi="Arial" w:cs="Arial"/>
          <w:lang w:val="en-GB"/>
        </w:rPr>
        <w:t>The Fund invests globally through a range of asset classes</w:t>
      </w:r>
      <w:r w:rsidR="005F7936">
        <w:rPr>
          <w:rFonts w:ascii="Arial" w:hAnsi="Arial" w:cs="Arial"/>
          <w:lang w:val="en-GB"/>
        </w:rPr>
        <w:t xml:space="preserve"> </w:t>
      </w:r>
      <w:r w:rsidRPr="00585000">
        <w:rPr>
          <w:rFonts w:ascii="Arial" w:hAnsi="Arial" w:cs="Arial"/>
          <w:lang w:val="en-GB"/>
        </w:rPr>
        <w:t xml:space="preserve">to invest in </w:t>
      </w:r>
      <w:r w:rsidR="003A1760" w:rsidRPr="00585000">
        <w:rPr>
          <w:rFonts w:ascii="Arial" w:hAnsi="Arial" w:cs="Arial"/>
          <w:lang w:val="en-GB"/>
        </w:rPr>
        <w:t xml:space="preserve">multiple </w:t>
      </w:r>
      <w:r w:rsidRPr="00585000">
        <w:rPr>
          <w:rFonts w:ascii="Arial" w:hAnsi="Arial" w:cs="Arial"/>
          <w:lang w:val="en-GB"/>
        </w:rPr>
        <w:t>business sectors directly and indirectly. This means the Fund’s investments are exposed to many different parts of the global economy</w:t>
      </w:r>
      <w:r w:rsidR="007A58A0" w:rsidRPr="00585000">
        <w:rPr>
          <w:rFonts w:ascii="Arial" w:hAnsi="Arial" w:cs="Arial"/>
          <w:lang w:val="en-GB"/>
        </w:rPr>
        <w:t>.</w:t>
      </w:r>
      <w:r w:rsidR="00AB5F7D">
        <w:rPr>
          <w:rFonts w:ascii="Arial" w:hAnsi="Arial" w:cs="Arial"/>
          <w:lang w:val="en-GB"/>
        </w:rPr>
        <w:t xml:space="preserve"> </w:t>
      </w:r>
    </w:p>
    <w:p w14:paraId="1D5B84F6" w14:textId="72A2724B" w:rsidR="00D90478" w:rsidRPr="00585000" w:rsidRDefault="00312EE7" w:rsidP="0032632E">
      <w:pPr>
        <w:pStyle w:val="BodyText"/>
        <w:spacing w:before="1" w:line="242" w:lineRule="auto"/>
        <w:ind w:left="375" w:right="960"/>
        <w:jc w:val="both"/>
        <w:rPr>
          <w:rFonts w:ascii="Arial" w:hAnsi="Arial" w:cs="Arial"/>
          <w:lang w:val="en-GB"/>
        </w:rPr>
      </w:pPr>
      <w:r>
        <w:rPr>
          <w:rFonts w:ascii="Arial" w:hAnsi="Arial" w:cs="Arial"/>
          <w:lang w:val="en-GB"/>
        </w:rPr>
        <w:t>The Fund intends to apply t</w:t>
      </w:r>
      <w:r w:rsidR="00D90478" w:rsidRPr="00585000">
        <w:rPr>
          <w:rFonts w:ascii="Arial" w:hAnsi="Arial" w:cs="Arial"/>
          <w:lang w:val="en-GB"/>
        </w:rPr>
        <w:t>his Policy to investment activities across all geographic locations and all asset classes</w:t>
      </w:r>
      <w:r w:rsidR="0055335D">
        <w:rPr>
          <w:rFonts w:ascii="Arial" w:hAnsi="Arial" w:cs="Arial"/>
          <w:lang w:val="en-GB"/>
        </w:rPr>
        <w:t xml:space="preserve"> including</w:t>
      </w:r>
      <w:r w:rsidR="0055335D" w:rsidRPr="00585000">
        <w:rPr>
          <w:rFonts w:ascii="Arial" w:hAnsi="Arial" w:cs="Arial"/>
          <w:lang w:val="en-GB"/>
        </w:rPr>
        <w:t xml:space="preserve"> </w:t>
      </w:r>
      <w:r w:rsidR="00D90478" w:rsidRPr="00585000">
        <w:rPr>
          <w:rFonts w:ascii="Arial" w:hAnsi="Arial" w:cs="Arial"/>
          <w:lang w:val="en-GB"/>
        </w:rPr>
        <w:t>direct</w:t>
      </w:r>
      <w:r w:rsidR="00927B90" w:rsidRPr="00585000">
        <w:rPr>
          <w:rFonts w:ascii="Arial" w:hAnsi="Arial" w:cs="Arial"/>
          <w:lang w:val="en-GB"/>
        </w:rPr>
        <w:t xml:space="preserve"> investments</w:t>
      </w:r>
      <w:r w:rsidR="00D90478" w:rsidRPr="00585000">
        <w:rPr>
          <w:rFonts w:ascii="Arial" w:hAnsi="Arial" w:cs="Arial"/>
          <w:lang w:val="en-GB"/>
        </w:rPr>
        <w:t xml:space="preserve"> and pooled funds; and all styles including active and passive</w:t>
      </w:r>
      <w:r w:rsidR="003A1760" w:rsidRPr="00585000">
        <w:rPr>
          <w:rFonts w:ascii="Arial" w:hAnsi="Arial" w:cs="Arial"/>
          <w:lang w:val="en-GB"/>
        </w:rPr>
        <w:t xml:space="preserve"> investments</w:t>
      </w:r>
      <w:r w:rsidR="007A58A0" w:rsidRPr="00585000">
        <w:rPr>
          <w:rFonts w:ascii="Arial" w:hAnsi="Arial" w:cs="Arial"/>
          <w:lang w:val="en-GB"/>
        </w:rPr>
        <w:t>, liquid and illiquid</w:t>
      </w:r>
      <w:r w:rsidR="00D90478" w:rsidRPr="00585000">
        <w:rPr>
          <w:rFonts w:ascii="Arial" w:hAnsi="Arial" w:cs="Arial"/>
          <w:lang w:val="en-GB"/>
        </w:rPr>
        <w:t>.</w:t>
      </w:r>
      <w:r w:rsidR="008960AA">
        <w:rPr>
          <w:rFonts w:ascii="Arial" w:hAnsi="Arial" w:cs="Arial"/>
          <w:lang w:val="en-GB"/>
        </w:rPr>
        <w:t xml:space="preserve"> However,</w:t>
      </w:r>
      <w:r w:rsidR="008960AA" w:rsidRPr="008960AA">
        <w:rPr>
          <w:rFonts w:ascii="Arial" w:hAnsi="Arial" w:cs="Arial"/>
          <w:lang w:val="en-GB"/>
        </w:rPr>
        <w:t xml:space="preserve"> our ability to act and influence may vary by investment type</w:t>
      </w:r>
      <w:r w:rsidR="008960AA">
        <w:rPr>
          <w:rFonts w:ascii="Arial" w:hAnsi="Arial" w:cs="Arial"/>
          <w:lang w:val="en-GB"/>
        </w:rPr>
        <w:t xml:space="preserve">. </w:t>
      </w:r>
    </w:p>
    <w:p w14:paraId="5B089B52" w14:textId="77777777" w:rsidR="00D90478" w:rsidRPr="00585000" w:rsidRDefault="00D90478" w:rsidP="0032632E">
      <w:pPr>
        <w:pStyle w:val="BodyText"/>
        <w:spacing w:before="1" w:line="242" w:lineRule="auto"/>
        <w:ind w:left="375" w:right="960"/>
        <w:jc w:val="both"/>
        <w:rPr>
          <w:rFonts w:ascii="Arial" w:hAnsi="Arial" w:cs="Arial"/>
          <w:w w:val="105"/>
          <w:lang w:val="en-GB"/>
        </w:rPr>
      </w:pPr>
    </w:p>
    <w:p w14:paraId="187C9060" w14:textId="57C11A9B" w:rsidR="00D36EB0" w:rsidRDefault="00F11D8E" w:rsidP="0032632E">
      <w:pPr>
        <w:pStyle w:val="BodyText"/>
        <w:spacing w:before="1" w:line="242" w:lineRule="auto"/>
        <w:ind w:left="375" w:right="960"/>
        <w:jc w:val="both"/>
        <w:rPr>
          <w:rFonts w:ascii="Arial" w:hAnsi="Arial" w:cs="Arial"/>
          <w:lang w:val="en-GB"/>
        </w:rPr>
      </w:pPr>
      <w:r>
        <w:rPr>
          <w:rFonts w:ascii="Arial" w:hAnsi="Arial" w:cs="Arial"/>
          <w:lang w:val="en-GB"/>
        </w:rPr>
        <w:t xml:space="preserve">The </w:t>
      </w:r>
      <w:r w:rsidR="000F636B">
        <w:rPr>
          <w:rFonts w:ascii="Arial" w:hAnsi="Arial" w:cs="Arial"/>
          <w:lang w:val="en-GB"/>
        </w:rPr>
        <w:t xml:space="preserve">Local Government Pension Scheme </w:t>
      </w:r>
      <w:r w:rsidR="004112C2">
        <w:rPr>
          <w:rFonts w:ascii="Arial" w:hAnsi="Arial" w:cs="Arial"/>
          <w:lang w:val="en-GB"/>
        </w:rPr>
        <w:t>(</w:t>
      </w:r>
      <w:r w:rsidR="00C9717D">
        <w:rPr>
          <w:rFonts w:ascii="Arial" w:hAnsi="Arial" w:cs="Arial"/>
          <w:lang w:val="en-GB"/>
        </w:rPr>
        <w:t>Amendment</w:t>
      </w:r>
      <w:r w:rsidRPr="00F11D8E">
        <w:rPr>
          <w:rFonts w:ascii="Arial" w:hAnsi="Arial" w:cs="Arial"/>
          <w:lang w:val="en-GB"/>
        </w:rPr>
        <w:t>) Regulations 2026</w:t>
      </w:r>
      <w:r>
        <w:rPr>
          <w:rFonts w:ascii="Arial" w:hAnsi="Arial" w:cs="Arial"/>
          <w:lang w:val="en-GB"/>
        </w:rPr>
        <w:t xml:space="preserve"> </w:t>
      </w:r>
      <w:r w:rsidR="0054248F">
        <w:rPr>
          <w:rFonts w:ascii="Arial" w:hAnsi="Arial" w:cs="Arial"/>
          <w:lang w:val="en-GB"/>
        </w:rPr>
        <w:t xml:space="preserve">come into effect on </w:t>
      </w:r>
      <w:r>
        <w:rPr>
          <w:rFonts w:ascii="Arial" w:hAnsi="Arial" w:cs="Arial"/>
          <w:lang w:val="en-GB"/>
        </w:rPr>
        <w:t xml:space="preserve">1 April 2026. </w:t>
      </w:r>
      <w:r w:rsidR="00C2249A">
        <w:rPr>
          <w:rFonts w:ascii="Arial" w:hAnsi="Arial" w:cs="Arial"/>
          <w:lang w:val="en-GB"/>
        </w:rPr>
        <w:t>Going forward, r</w:t>
      </w:r>
      <w:r w:rsidR="00C63D8F">
        <w:rPr>
          <w:rFonts w:ascii="Arial" w:hAnsi="Arial" w:cs="Arial"/>
          <w:lang w:val="en-GB"/>
        </w:rPr>
        <w:t>esponsibility for the implementation of the Fund’s investment strategy</w:t>
      </w:r>
      <w:r w:rsidR="00D36EB0">
        <w:rPr>
          <w:rFonts w:ascii="Arial" w:hAnsi="Arial" w:cs="Arial"/>
          <w:lang w:val="en-GB"/>
        </w:rPr>
        <w:t xml:space="preserve"> </w:t>
      </w:r>
      <w:r w:rsidR="00FB3A25">
        <w:rPr>
          <w:rFonts w:ascii="Arial" w:hAnsi="Arial" w:cs="Arial"/>
          <w:lang w:val="en-GB"/>
        </w:rPr>
        <w:t xml:space="preserve">will sit with the </w:t>
      </w:r>
      <w:r w:rsidR="00D36EB0">
        <w:rPr>
          <w:rFonts w:ascii="Arial" w:hAnsi="Arial" w:cs="Arial"/>
          <w:lang w:val="en-GB"/>
        </w:rPr>
        <w:t>London Collective Investment Vehicle (LCIV). Th</w:t>
      </w:r>
      <w:r w:rsidR="00DE2081">
        <w:rPr>
          <w:rFonts w:ascii="Arial" w:hAnsi="Arial" w:cs="Arial"/>
          <w:lang w:val="en-GB"/>
        </w:rPr>
        <w:t>is</w:t>
      </w:r>
      <w:r w:rsidR="00D36EB0">
        <w:rPr>
          <w:rFonts w:ascii="Arial" w:hAnsi="Arial" w:cs="Arial"/>
          <w:lang w:val="en-GB"/>
        </w:rPr>
        <w:t xml:space="preserve"> Policy will also form the </w:t>
      </w:r>
      <w:r w:rsidR="00D36EB0" w:rsidRPr="00D36EB0">
        <w:rPr>
          <w:rFonts w:ascii="Arial" w:hAnsi="Arial" w:cs="Arial"/>
          <w:lang w:val="en-GB"/>
        </w:rPr>
        <w:t xml:space="preserve">basis of our engagement </w:t>
      </w:r>
      <w:r w:rsidR="00D36EB0">
        <w:rPr>
          <w:rFonts w:ascii="Arial" w:hAnsi="Arial" w:cs="Arial"/>
          <w:lang w:val="en-GB"/>
        </w:rPr>
        <w:t xml:space="preserve">with LCIV and </w:t>
      </w:r>
      <w:r w:rsidR="00D36EB0" w:rsidRPr="00D36EB0">
        <w:rPr>
          <w:rFonts w:ascii="Arial" w:hAnsi="Arial" w:cs="Arial"/>
          <w:lang w:val="en-GB"/>
        </w:rPr>
        <w:t xml:space="preserve">investment managers </w:t>
      </w:r>
      <w:r w:rsidR="00D36EB0">
        <w:rPr>
          <w:rFonts w:ascii="Arial" w:hAnsi="Arial" w:cs="Arial"/>
          <w:lang w:val="en-GB"/>
        </w:rPr>
        <w:t xml:space="preserve">(through LCIV) and outlines our ESG-related </w:t>
      </w:r>
      <w:r w:rsidR="00D36EB0" w:rsidRPr="00D36EB0">
        <w:rPr>
          <w:rFonts w:ascii="Arial" w:hAnsi="Arial" w:cs="Arial"/>
          <w:lang w:val="en-GB"/>
        </w:rPr>
        <w:t>expectations, stewardship priorities, and escalation approach</w:t>
      </w:r>
      <w:r w:rsidR="00D36EB0">
        <w:rPr>
          <w:rFonts w:ascii="Arial" w:hAnsi="Arial" w:cs="Arial"/>
          <w:lang w:val="en-GB"/>
        </w:rPr>
        <w:t xml:space="preserve"> to</w:t>
      </w:r>
      <w:r w:rsidR="00D36EB0" w:rsidRPr="00D36EB0">
        <w:rPr>
          <w:rFonts w:ascii="Arial" w:hAnsi="Arial" w:cs="Arial"/>
          <w:lang w:val="en-GB"/>
        </w:rPr>
        <w:t xml:space="preserve"> any future ESG related challenges and concerns</w:t>
      </w:r>
      <w:r w:rsidR="00D36EB0" w:rsidRPr="00816A7B">
        <w:rPr>
          <w:rFonts w:ascii="Arial" w:hAnsi="Arial" w:cs="Arial"/>
          <w:lang w:val="en-GB"/>
        </w:rPr>
        <w:t xml:space="preserve">. </w:t>
      </w:r>
      <w:r w:rsidR="000E35C6" w:rsidRPr="00816A7B">
        <w:rPr>
          <w:rFonts w:ascii="Arial" w:hAnsi="Arial" w:cs="Arial"/>
          <w:lang w:val="en-GB"/>
        </w:rPr>
        <w:t>For the pu</w:t>
      </w:r>
      <w:r w:rsidR="008E5CD3" w:rsidRPr="00816A7B">
        <w:rPr>
          <w:rFonts w:ascii="Arial" w:hAnsi="Arial" w:cs="Arial"/>
          <w:lang w:val="en-GB"/>
        </w:rPr>
        <w:t xml:space="preserve">rposes of pooling, </w:t>
      </w:r>
      <w:r>
        <w:rPr>
          <w:rFonts w:ascii="Arial" w:hAnsi="Arial" w:cs="Arial"/>
          <w:lang w:val="en-GB"/>
        </w:rPr>
        <w:t xml:space="preserve">where relevant, </w:t>
      </w:r>
      <w:r w:rsidR="008E5CD3" w:rsidRPr="00816A7B">
        <w:rPr>
          <w:rFonts w:ascii="Arial" w:hAnsi="Arial" w:cs="Arial"/>
          <w:lang w:val="en-GB"/>
        </w:rPr>
        <w:t xml:space="preserve">any reference to investment manager </w:t>
      </w:r>
      <w:r w:rsidR="00C01599" w:rsidRPr="00816A7B">
        <w:rPr>
          <w:rFonts w:ascii="Arial" w:hAnsi="Arial" w:cs="Arial"/>
          <w:lang w:val="en-GB"/>
        </w:rPr>
        <w:t xml:space="preserve">in this RI Policy </w:t>
      </w:r>
      <w:r w:rsidR="008E5CD3" w:rsidRPr="00816A7B">
        <w:rPr>
          <w:rFonts w:ascii="Arial" w:hAnsi="Arial" w:cs="Arial"/>
          <w:lang w:val="en-GB"/>
        </w:rPr>
        <w:t>also includes LCIV.</w:t>
      </w:r>
      <w:r w:rsidR="008E5CD3">
        <w:rPr>
          <w:rFonts w:ascii="Arial" w:hAnsi="Arial" w:cs="Arial"/>
          <w:lang w:val="en-GB"/>
        </w:rPr>
        <w:t xml:space="preserve"> </w:t>
      </w:r>
    </w:p>
    <w:p w14:paraId="7DBB746F" w14:textId="77777777" w:rsidR="00D36EB0" w:rsidRPr="00D36EB0" w:rsidRDefault="00D36EB0" w:rsidP="0032632E">
      <w:pPr>
        <w:pStyle w:val="BodyText"/>
        <w:spacing w:before="1" w:line="242" w:lineRule="auto"/>
        <w:ind w:left="375" w:right="960"/>
        <w:jc w:val="both"/>
        <w:rPr>
          <w:rFonts w:ascii="Arial" w:hAnsi="Arial" w:cs="Arial"/>
          <w:lang w:val="en-GB"/>
        </w:rPr>
      </w:pPr>
    </w:p>
    <w:p w14:paraId="635EA15B" w14:textId="51EB8057" w:rsidR="001C2DF0" w:rsidRPr="00585000" w:rsidRDefault="00CE73B4" w:rsidP="0032632E">
      <w:pPr>
        <w:pStyle w:val="BodyText"/>
        <w:numPr>
          <w:ilvl w:val="0"/>
          <w:numId w:val="10"/>
        </w:numPr>
        <w:spacing w:before="1" w:line="242" w:lineRule="auto"/>
        <w:ind w:left="709" w:right="960" w:hanging="283"/>
        <w:jc w:val="both"/>
        <w:rPr>
          <w:rFonts w:ascii="Arial" w:hAnsi="Arial" w:cs="Arial"/>
          <w:b/>
          <w:lang w:val="en-GB"/>
        </w:rPr>
      </w:pPr>
      <w:r w:rsidRPr="00A32857">
        <w:rPr>
          <w:rFonts w:ascii="Arial" w:hAnsi="Arial" w:cs="Arial"/>
          <w:b/>
          <w:w w:val="105"/>
          <w:lang w:val="en-GB"/>
        </w:rPr>
        <w:t>Responsible</w:t>
      </w:r>
      <w:r w:rsidRPr="00585000">
        <w:rPr>
          <w:rFonts w:ascii="Arial" w:hAnsi="Arial" w:cs="Arial"/>
          <w:b/>
          <w:lang w:val="en-GB"/>
        </w:rPr>
        <w:t xml:space="preserve"> </w:t>
      </w:r>
      <w:r w:rsidR="001C2DF0" w:rsidRPr="00585000">
        <w:rPr>
          <w:rFonts w:ascii="Arial" w:hAnsi="Arial" w:cs="Arial"/>
          <w:b/>
          <w:lang w:val="en-GB"/>
        </w:rPr>
        <w:t xml:space="preserve">Investment </w:t>
      </w:r>
      <w:r w:rsidRPr="00585000">
        <w:rPr>
          <w:rFonts w:ascii="Arial" w:hAnsi="Arial" w:cs="Arial"/>
          <w:b/>
          <w:lang w:val="en-GB"/>
        </w:rPr>
        <w:t>beliefs</w:t>
      </w:r>
    </w:p>
    <w:p w14:paraId="40610117" w14:textId="0C632B67" w:rsidR="001C2DF0" w:rsidRPr="00585000" w:rsidRDefault="001C2DF0" w:rsidP="0032632E">
      <w:pPr>
        <w:pStyle w:val="BodyText"/>
        <w:spacing w:before="1" w:line="242" w:lineRule="auto"/>
        <w:ind w:left="375" w:right="960"/>
        <w:jc w:val="both"/>
        <w:rPr>
          <w:rFonts w:ascii="Arial" w:hAnsi="Arial" w:cs="Arial"/>
          <w:b/>
          <w:lang w:val="en-GB"/>
        </w:rPr>
      </w:pPr>
    </w:p>
    <w:p w14:paraId="6473B1CF" w14:textId="3EA7BDD5" w:rsidR="00AD0A0B" w:rsidRPr="00585000" w:rsidRDefault="008D77D2" w:rsidP="0032632E">
      <w:pPr>
        <w:pStyle w:val="BodyText"/>
        <w:spacing w:before="1" w:line="242" w:lineRule="auto"/>
        <w:ind w:left="375" w:right="960"/>
        <w:jc w:val="both"/>
        <w:rPr>
          <w:rFonts w:ascii="Arial" w:hAnsi="Arial" w:cs="Arial"/>
          <w:lang w:val="en-GB"/>
        </w:rPr>
      </w:pPr>
      <w:r w:rsidRPr="008D77D2">
        <w:rPr>
          <w:rFonts w:ascii="Arial" w:hAnsi="Arial" w:cs="Arial"/>
          <w:lang w:val="en-GB"/>
        </w:rPr>
        <w:t>The Fund</w:t>
      </w:r>
      <w:r w:rsidR="00A241AF" w:rsidRPr="00585000">
        <w:rPr>
          <w:rFonts w:ascii="Arial" w:hAnsi="Arial" w:cs="Arial"/>
          <w:lang w:val="en-GB"/>
        </w:rPr>
        <w:t xml:space="preserve"> believes that </w:t>
      </w:r>
      <w:r w:rsidR="00CE73B4" w:rsidRPr="00585000">
        <w:rPr>
          <w:rFonts w:ascii="Arial" w:hAnsi="Arial" w:cs="Arial"/>
          <w:lang w:val="en-GB"/>
        </w:rPr>
        <w:t xml:space="preserve">investing in </w:t>
      </w:r>
      <w:r w:rsidR="00AD0A0B" w:rsidRPr="00585000">
        <w:rPr>
          <w:rFonts w:ascii="Arial" w:hAnsi="Arial" w:cs="Arial"/>
          <w:lang w:val="en-GB"/>
        </w:rPr>
        <w:t xml:space="preserve">well-governed companies that manage </w:t>
      </w:r>
      <w:r w:rsidR="006D5B4B">
        <w:rPr>
          <w:rFonts w:ascii="Arial" w:hAnsi="Arial" w:cs="Arial"/>
          <w:lang w:val="en-GB"/>
        </w:rPr>
        <w:t xml:space="preserve">ESG </w:t>
      </w:r>
      <w:r w:rsidR="00AD0A0B" w:rsidRPr="00585000">
        <w:rPr>
          <w:rFonts w:ascii="Arial" w:hAnsi="Arial" w:cs="Arial"/>
          <w:lang w:val="en-GB"/>
        </w:rPr>
        <w:t>risks and opportunities</w:t>
      </w:r>
      <w:r w:rsidR="00952556">
        <w:rPr>
          <w:rFonts w:ascii="Arial" w:hAnsi="Arial" w:cs="Arial"/>
          <w:lang w:val="en-GB"/>
        </w:rPr>
        <w:t xml:space="preserve"> - </w:t>
      </w:r>
      <w:r w:rsidR="007A58A0" w:rsidRPr="00585000">
        <w:rPr>
          <w:rFonts w:ascii="Arial" w:hAnsi="Arial" w:cs="Arial"/>
          <w:lang w:val="en-GB"/>
        </w:rPr>
        <w:t xml:space="preserve">such as climate change, </w:t>
      </w:r>
      <w:r w:rsidR="008A762D">
        <w:rPr>
          <w:rFonts w:ascii="Arial" w:hAnsi="Arial" w:cs="Arial"/>
          <w:lang w:val="en-GB"/>
        </w:rPr>
        <w:t>human rights</w:t>
      </w:r>
      <w:r w:rsidR="000A061E">
        <w:rPr>
          <w:rFonts w:ascii="Arial" w:hAnsi="Arial" w:cs="Arial"/>
          <w:lang w:val="en-GB"/>
        </w:rPr>
        <w:t>,</w:t>
      </w:r>
      <w:r w:rsidR="008A762D">
        <w:rPr>
          <w:rFonts w:ascii="Arial" w:hAnsi="Arial" w:cs="Arial"/>
          <w:lang w:val="en-GB"/>
        </w:rPr>
        <w:t xml:space="preserve"> </w:t>
      </w:r>
      <w:r w:rsidR="007A58A0" w:rsidRPr="00585000">
        <w:rPr>
          <w:rFonts w:ascii="Arial" w:hAnsi="Arial" w:cs="Arial"/>
          <w:lang w:val="en-GB"/>
        </w:rPr>
        <w:t>diversity and inclusion</w:t>
      </w:r>
      <w:r w:rsidR="00952556">
        <w:rPr>
          <w:rFonts w:ascii="Arial" w:hAnsi="Arial" w:cs="Arial"/>
          <w:lang w:val="en-GB"/>
        </w:rPr>
        <w:t xml:space="preserve"> </w:t>
      </w:r>
      <w:r w:rsidR="003077A3">
        <w:rPr>
          <w:rFonts w:ascii="Arial" w:hAnsi="Arial" w:cs="Arial"/>
          <w:lang w:val="en-GB"/>
        </w:rPr>
        <w:t xml:space="preserve">and strong governance </w:t>
      </w:r>
      <w:r w:rsidR="00952556">
        <w:rPr>
          <w:rFonts w:ascii="Arial" w:hAnsi="Arial" w:cs="Arial"/>
          <w:lang w:val="en-GB"/>
        </w:rPr>
        <w:t xml:space="preserve">- </w:t>
      </w:r>
      <w:r w:rsidR="00AD0A0B" w:rsidRPr="00585000">
        <w:rPr>
          <w:rFonts w:ascii="Arial" w:hAnsi="Arial" w:cs="Arial"/>
          <w:lang w:val="en-GB"/>
        </w:rPr>
        <w:t>in their operations and supply chains</w:t>
      </w:r>
      <w:r w:rsidR="00952556">
        <w:rPr>
          <w:rFonts w:ascii="Arial" w:hAnsi="Arial" w:cs="Arial"/>
          <w:lang w:val="en-GB"/>
        </w:rPr>
        <w:t>,</w:t>
      </w:r>
      <w:r w:rsidR="00AD0A0B" w:rsidRPr="00585000">
        <w:rPr>
          <w:rFonts w:ascii="Arial" w:hAnsi="Arial" w:cs="Arial"/>
          <w:lang w:val="en-GB"/>
        </w:rPr>
        <w:t xml:space="preserve"> will enhance value for </w:t>
      </w:r>
      <w:r w:rsidR="007A58A0" w:rsidRPr="00585000">
        <w:rPr>
          <w:rFonts w:ascii="Arial" w:hAnsi="Arial" w:cs="Arial"/>
          <w:lang w:val="en-GB"/>
        </w:rPr>
        <w:t>its</w:t>
      </w:r>
      <w:r w:rsidR="00952556">
        <w:rPr>
          <w:rFonts w:ascii="Arial" w:hAnsi="Arial" w:cs="Arial"/>
          <w:lang w:val="en-GB"/>
        </w:rPr>
        <w:t xml:space="preserve"> stakeholders</w:t>
      </w:r>
      <w:r w:rsidR="00AD0A0B" w:rsidRPr="00585000">
        <w:rPr>
          <w:rFonts w:ascii="Arial" w:hAnsi="Arial" w:cs="Arial"/>
          <w:lang w:val="en-GB"/>
        </w:rPr>
        <w:t xml:space="preserve"> over the long term. </w:t>
      </w:r>
    </w:p>
    <w:p w14:paraId="457945F7" w14:textId="77777777" w:rsidR="00AD0A0B" w:rsidRPr="00585000" w:rsidRDefault="00AD0A0B" w:rsidP="0032632E">
      <w:pPr>
        <w:pStyle w:val="BodyText"/>
        <w:spacing w:before="1" w:line="242" w:lineRule="auto"/>
        <w:ind w:left="375" w:right="960"/>
        <w:jc w:val="both"/>
        <w:rPr>
          <w:rFonts w:ascii="Arial" w:hAnsi="Arial" w:cs="Arial"/>
          <w:lang w:val="en-GB"/>
        </w:rPr>
      </w:pPr>
    </w:p>
    <w:p w14:paraId="701CA0E4" w14:textId="2A8DDFA6" w:rsidR="00A80E18" w:rsidRPr="00841F3A" w:rsidRDefault="007A58A0" w:rsidP="0032632E">
      <w:pPr>
        <w:pStyle w:val="BodyText"/>
        <w:spacing w:before="1" w:line="242" w:lineRule="auto"/>
        <w:ind w:left="375" w:right="960"/>
        <w:jc w:val="both"/>
        <w:rPr>
          <w:rFonts w:ascii="Arial" w:hAnsi="Arial" w:cs="Arial"/>
          <w:lang w:val="en-GB"/>
        </w:rPr>
      </w:pPr>
      <w:r w:rsidRPr="00585000">
        <w:rPr>
          <w:rFonts w:ascii="Arial" w:hAnsi="Arial" w:cs="Arial"/>
          <w:lang w:val="en-GB"/>
        </w:rPr>
        <w:lastRenderedPageBreak/>
        <w:t>The</w:t>
      </w:r>
      <w:r w:rsidR="00AD0A0B" w:rsidRPr="00585000">
        <w:rPr>
          <w:rFonts w:ascii="Arial" w:hAnsi="Arial" w:cs="Arial"/>
          <w:lang w:val="en-GB"/>
        </w:rPr>
        <w:t xml:space="preserve"> Fund considers that </w:t>
      </w:r>
      <w:r w:rsidR="00A241AF" w:rsidRPr="00585000">
        <w:rPr>
          <w:rFonts w:ascii="Arial" w:hAnsi="Arial" w:cs="Arial"/>
          <w:lang w:val="en-GB"/>
        </w:rPr>
        <w:t xml:space="preserve">responsible investment practices are entirely consistent with </w:t>
      </w:r>
      <w:r w:rsidR="00CE73B4" w:rsidRPr="00585000">
        <w:rPr>
          <w:rFonts w:ascii="Arial" w:hAnsi="Arial" w:cs="Arial"/>
          <w:lang w:val="en-GB"/>
        </w:rPr>
        <w:t>its twin objectives: first, to achieve sufficient long-</w:t>
      </w:r>
      <w:r w:rsidR="00CE73B4" w:rsidRPr="00816A7B">
        <w:rPr>
          <w:rFonts w:ascii="Arial" w:hAnsi="Arial" w:cs="Arial"/>
          <w:lang w:val="en-GB"/>
        </w:rPr>
        <w:t xml:space="preserve">term </w:t>
      </w:r>
      <w:r w:rsidR="00051985" w:rsidRPr="00816A7B">
        <w:rPr>
          <w:rFonts w:ascii="Arial" w:hAnsi="Arial" w:cs="Arial"/>
          <w:lang w:val="en-GB"/>
        </w:rPr>
        <w:t>risk</w:t>
      </w:r>
      <w:r w:rsidR="001C106A" w:rsidRPr="00816A7B">
        <w:rPr>
          <w:rFonts w:ascii="Arial" w:hAnsi="Arial" w:cs="Arial"/>
          <w:lang w:val="en-GB"/>
        </w:rPr>
        <w:t>-adjusted</w:t>
      </w:r>
      <w:r w:rsidR="00051985" w:rsidRPr="00816A7B">
        <w:rPr>
          <w:rFonts w:ascii="Arial" w:hAnsi="Arial" w:cs="Arial"/>
          <w:lang w:val="en-GB"/>
        </w:rPr>
        <w:t xml:space="preserve"> </w:t>
      </w:r>
      <w:r w:rsidR="00CE73B4" w:rsidRPr="00816A7B">
        <w:rPr>
          <w:rFonts w:ascii="Arial" w:hAnsi="Arial" w:cs="Arial"/>
          <w:lang w:val="en-GB"/>
        </w:rPr>
        <w:t>returns</w:t>
      </w:r>
      <w:r w:rsidR="00CE73B4" w:rsidRPr="00585000">
        <w:rPr>
          <w:rFonts w:ascii="Arial" w:hAnsi="Arial" w:cs="Arial"/>
          <w:lang w:val="en-GB"/>
        </w:rPr>
        <w:t xml:space="preserve"> for the Fund to be affordable and second, to keep the employers’ contribution rate as stable as possible.</w:t>
      </w:r>
      <w:r w:rsidR="00CE73B4" w:rsidRPr="00585000">
        <w:rPr>
          <w:rFonts w:ascii="Arial" w:hAnsi="Arial" w:cs="Arial"/>
          <w:lang w:val="en-GB"/>
        </w:rPr>
        <w:cr/>
      </w:r>
    </w:p>
    <w:p w14:paraId="6E052462" w14:textId="442A6886" w:rsidR="008D6FCB" w:rsidRPr="00585000" w:rsidRDefault="00574A61" w:rsidP="0032632E">
      <w:pPr>
        <w:pStyle w:val="BodyText"/>
        <w:spacing w:before="1" w:line="242" w:lineRule="auto"/>
        <w:ind w:left="375" w:right="960"/>
        <w:jc w:val="both"/>
        <w:rPr>
          <w:rFonts w:ascii="Arial" w:hAnsi="Arial" w:cs="Arial"/>
          <w:lang w:val="en-GB"/>
        </w:rPr>
      </w:pPr>
      <w:r w:rsidRPr="00841F3A">
        <w:rPr>
          <w:rFonts w:ascii="Arial" w:hAnsi="Arial" w:cs="Arial"/>
          <w:lang w:val="en-GB"/>
        </w:rPr>
        <w:t>The Fund recogni</w:t>
      </w:r>
      <w:r w:rsidR="008D77D2">
        <w:rPr>
          <w:rFonts w:ascii="Arial" w:hAnsi="Arial" w:cs="Arial"/>
          <w:lang w:val="en-GB"/>
        </w:rPr>
        <w:t>s</w:t>
      </w:r>
      <w:r w:rsidRPr="00841F3A">
        <w:rPr>
          <w:rFonts w:ascii="Arial" w:hAnsi="Arial" w:cs="Arial"/>
          <w:lang w:val="en-GB"/>
        </w:rPr>
        <w:t xml:space="preserve">es responsible investment as </w:t>
      </w:r>
      <w:r w:rsidR="00A241AF" w:rsidRPr="00841F3A">
        <w:rPr>
          <w:rFonts w:ascii="Arial" w:hAnsi="Arial" w:cs="Arial"/>
          <w:lang w:val="en-GB"/>
        </w:rPr>
        <w:t xml:space="preserve">taking account of </w:t>
      </w:r>
      <w:r w:rsidR="008560A9" w:rsidRPr="00841F3A">
        <w:rPr>
          <w:rFonts w:ascii="Arial" w:hAnsi="Arial" w:cs="Arial"/>
          <w:lang w:val="en-GB"/>
        </w:rPr>
        <w:t>various ESG</w:t>
      </w:r>
      <w:r w:rsidR="00A241AF" w:rsidRPr="00841F3A">
        <w:rPr>
          <w:rFonts w:ascii="Arial" w:hAnsi="Arial" w:cs="Arial"/>
          <w:lang w:val="en-GB"/>
        </w:rPr>
        <w:t xml:space="preserve"> risks and opportunities </w:t>
      </w:r>
      <w:r w:rsidR="00AD0A0B" w:rsidRPr="00841F3A">
        <w:rPr>
          <w:rFonts w:ascii="Arial" w:hAnsi="Arial" w:cs="Arial"/>
          <w:lang w:val="en-GB"/>
        </w:rPr>
        <w:t xml:space="preserve">at all stages </w:t>
      </w:r>
      <w:r w:rsidR="00A241AF" w:rsidRPr="00841F3A">
        <w:rPr>
          <w:rFonts w:ascii="Arial" w:hAnsi="Arial" w:cs="Arial"/>
          <w:lang w:val="en-GB"/>
        </w:rPr>
        <w:t>in the investment decision making process</w:t>
      </w:r>
      <w:r w:rsidR="00AD0A0B" w:rsidRPr="00841F3A">
        <w:rPr>
          <w:rFonts w:ascii="Arial" w:hAnsi="Arial" w:cs="Arial"/>
          <w:lang w:val="en-GB"/>
        </w:rPr>
        <w:t xml:space="preserve"> from </w:t>
      </w:r>
      <w:r w:rsidR="00C2796A" w:rsidRPr="00841F3A">
        <w:rPr>
          <w:rFonts w:ascii="Arial" w:hAnsi="Arial" w:cs="Arial"/>
          <w:lang w:val="en-GB"/>
        </w:rPr>
        <w:t>defining the Fund’s Strategic Asset Allocation (SAA)</w:t>
      </w:r>
      <w:r w:rsidR="00AD0A0B" w:rsidRPr="00841F3A">
        <w:rPr>
          <w:rFonts w:ascii="Arial" w:hAnsi="Arial" w:cs="Arial"/>
          <w:lang w:val="en-GB"/>
        </w:rPr>
        <w:t xml:space="preserve"> </w:t>
      </w:r>
      <w:r w:rsidR="00C2796A" w:rsidRPr="00841F3A">
        <w:rPr>
          <w:rFonts w:ascii="Arial" w:hAnsi="Arial" w:cs="Arial"/>
          <w:lang w:val="en-GB"/>
        </w:rPr>
        <w:t>through implementation via manager/investment selection</w:t>
      </w:r>
      <w:r w:rsidR="00A80E18" w:rsidRPr="00841F3A">
        <w:rPr>
          <w:rFonts w:ascii="Arial" w:hAnsi="Arial" w:cs="Arial"/>
          <w:lang w:val="en-GB"/>
        </w:rPr>
        <w:t xml:space="preserve"> and continued engagement and stewardship of Fund assets.</w:t>
      </w:r>
      <w:r w:rsidR="00A241AF" w:rsidRPr="00841F3A">
        <w:rPr>
          <w:rFonts w:ascii="Arial" w:hAnsi="Arial" w:cs="Arial"/>
          <w:lang w:val="en-GB"/>
        </w:rPr>
        <w:t xml:space="preserve"> </w:t>
      </w:r>
      <w:r w:rsidR="00841F3A" w:rsidRPr="00841F3A">
        <w:rPr>
          <w:rFonts w:ascii="Arial" w:hAnsi="Arial" w:cs="Arial"/>
          <w:lang w:val="en-GB"/>
        </w:rPr>
        <w:t>Where possible,</w:t>
      </w:r>
      <w:r w:rsidR="008D6FCB" w:rsidRPr="00841F3A">
        <w:rPr>
          <w:rFonts w:ascii="Arial" w:hAnsi="Arial" w:cs="Arial"/>
          <w:lang w:val="en-GB"/>
        </w:rPr>
        <w:t xml:space="preserve"> </w:t>
      </w:r>
      <w:r w:rsidR="006D5B4B">
        <w:rPr>
          <w:rFonts w:ascii="Arial" w:hAnsi="Arial" w:cs="Arial"/>
          <w:lang w:val="en-GB"/>
        </w:rPr>
        <w:t xml:space="preserve">it </w:t>
      </w:r>
      <w:r w:rsidR="008D6FCB" w:rsidRPr="00841F3A">
        <w:rPr>
          <w:rFonts w:ascii="Arial" w:hAnsi="Arial" w:cs="Arial"/>
          <w:lang w:val="en-GB"/>
        </w:rPr>
        <w:t xml:space="preserve">is important that appointed managers incorporate </w:t>
      </w:r>
      <w:r w:rsidR="00841F3A">
        <w:rPr>
          <w:rFonts w:ascii="Arial" w:hAnsi="Arial" w:cs="Arial"/>
          <w:lang w:val="en-GB"/>
        </w:rPr>
        <w:t xml:space="preserve">climate change and wider </w:t>
      </w:r>
      <w:r w:rsidR="008D6FCB" w:rsidRPr="00841F3A">
        <w:rPr>
          <w:rFonts w:ascii="Arial" w:hAnsi="Arial" w:cs="Arial"/>
          <w:lang w:val="en-GB"/>
        </w:rPr>
        <w:t>ESG considerations into their decision making on asset selection</w:t>
      </w:r>
      <w:r w:rsidR="009958CA">
        <w:rPr>
          <w:rFonts w:ascii="Arial" w:hAnsi="Arial" w:cs="Arial"/>
          <w:lang w:val="en-GB"/>
        </w:rPr>
        <w:t xml:space="preserve"> and divestment.</w:t>
      </w:r>
    </w:p>
    <w:p w14:paraId="44A4F469" w14:textId="5EFC277D" w:rsidR="00AA3BF7" w:rsidRPr="00585000" w:rsidRDefault="00AA3BF7" w:rsidP="0032632E">
      <w:pPr>
        <w:pStyle w:val="BodyText"/>
        <w:spacing w:before="1" w:line="242" w:lineRule="auto"/>
        <w:ind w:left="375" w:right="960"/>
        <w:jc w:val="both"/>
        <w:rPr>
          <w:rFonts w:ascii="Arial" w:hAnsi="Arial" w:cs="Arial"/>
          <w:lang w:val="en-GB"/>
        </w:rPr>
      </w:pPr>
    </w:p>
    <w:p w14:paraId="1D289B3B" w14:textId="4564FF27" w:rsidR="00AA3BF7" w:rsidRPr="00585000" w:rsidRDefault="00AA3BF7" w:rsidP="0032632E">
      <w:pPr>
        <w:pStyle w:val="BodyText"/>
        <w:spacing w:before="1" w:line="242" w:lineRule="auto"/>
        <w:ind w:left="375" w:right="960"/>
        <w:jc w:val="both"/>
        <w:rPr>
          <w:lang w:val="en-GB"/>
        </w:rPr>
      </w:pPr>
      <w:r w:rsidRPr="00585000">
        <w:rPr>
          <w:rFonts w:ascii="Arial" w:hAnsi="Arial" w:cs="Arial"/>
          <w:lang w:val="en-GB"/>
        </w:rPr>
        <w:t xml:space="preserve">The Fund will proactively exercise responsible stewardship of assets held </w:t>
      </w:r>
      <w:r w:rsidR="003C2088">
        <w:rPr>
          <w:rFonts w:ascii="Arial" w:hAnsi="Arial" w:cs="Arial"/>
          <w:lang w:val="en-GB"/>
        </w:rPr>
        <w:t xml:space="preserve">in the portfolio </w:t>
      </w:r>
      <w:r w:rsidRPr="00585000">
        <w:rPr>
          <w:rFonts w:ascii="Arial" w:hAnsi="Arial" w:cs="Arial"/>
          <w:lang w:val="en-GB"/>
        </w:rPr>
        <w:t xml:space="preserve">and act as a responsible voice in the broader investment community through </w:t>
      </w:r>
      <w:r w:rsidR="001B5D2C">
        <w:rPr>
          <w:rFonts w:ascii="Arial" w:hAnsi="Arial" w:cs="Arial"/>
          <w:lang w:val="en-GB"/>
        </w:rPr>
        <w:t>organisations like LCIV and forums</w:t>
      </w:r>
      <w:r w:rsidR="001B5D2C" w:rsidRPr="00585000">
        <w:rPr>
          <w:rFonts w:ascii="Arial" w:hAnsi="Arial" w:cs="Arial"/>
          <w:lang w:val="en-GB"/>
        </w:rPr>
        <w:t xml:space="preserve"> </w:t>
      </w:r>
      <w:r w:rsidRPr="00585000">
        <w:rPr>
          <w:rFonts w:ascii="Arial" w:hAnsi="Arial" w:cs="Arial"/>
          <w:lang w:val="en-GB"/>
        </w:rPr>
        <w:t>such as the Local Authority Pension Fund Forum</w:t>
      </w:r>
      <w:r w:rsidR="006D5B4B">
        <w:rPr>
          <w:rFonts w:ascii="Arial" w:hAnsi="Arial" w:cs="Arial"/>
          <w:lang w:val="en-GB"/>
        </w:rPr>
        <w:t xml:space="preserve"> (LAPFF)</w:t>
      </w:r>
      <w:r w:rsidR="001C4505">
        <w:rPr>
          <w:rFonts w:ascii="Arial" w:hAnsi="Arial" w:cs="Arial"/>
          <w:lang w:val="en-GB"/>
        </w:rPr>
        <w:t xml:space="preserve">. </w:t>
      </w:r>
      <w:r w:rsidRPr="00585000">
        <w:rPr>
          <w:lang w:val="en-GB"/>
        </w:rPr>
        <w:t xml:space="preserve"> </w:t>
      </w:r>
    </w:p>
    <w:p w14:paraId="0A83CA5E" w14:textId="77777777" w:rsidR="00AA3BF7" w:rsidRPr="00585000" w:rsidRDefault="00AA3BF7" w:rsidP="0032632E">
      <w:pPr>
        <w:pStyle w:val="BodyText"/>
        <w:spacing w:before="1" w:line="242" w:lineRule="auto"/>
        <w:ind w:left="375" w:right="960"/>
        <w:jc w:val="both"/>
        <w:rPr>
          <w:rFonts w:ascii="Arial" w:hAnsi="Arial" w:cs="Arial"/>
          <w:lang w:val="en-GB"/>
        </w:rPr>
      </w:pPr>
    </w:p>
    <w:p w14:paraId="15554DF5" w14:textId="7C07553E" w:rsidR="00A241AF" w:rsidRDefault="00E800CB" w:rsidP="0032632E">
      <w:pPr>
        <w:pStyle w:val="BodyText"/>
        <w:spacing w:before="1" w:line="242" w:lineRule="auto"/>
        <w:ind w:left="375" w:right="960"/>
        <w:jc w:val="both"/>
        <w:rPr>
          <w:rFonts w:ascii="Arial" w:hAnsi="Arial" w:cs="Arial"/>
          <w:lang w:val="en-GB"/>
        </w:rPr>
      </w:pPr>
      <w:r>
        <w:rPr>
          <w:rFonts w:ascii="Arial" w:hAnsi="Arial" w:cs="Arial"/>
          <w:lang w:val="en-GB"/>
        </w:rPr>
        <w:t>Alongside the</w:t>
      </w:r>
      <w:r w:rsidR="0095030E">
        <w:rPr>
          <w:rFonts w:ascii="Arial" w:hAnsi="Arial" w:cs="Arial"/>
          <w:lang w:val="en-GB"/>
        </w:rPr>
        <w:t xml:space="preserve"> primary</w:t>
      </w:r>
      <w:r>
        <w:rPr>
          <w:rFonts w:ascii="Arial" w:hAnsi="Arial" w:cs="Arial"/>
          <w:lang w:val="en-GB"/>
        </w:rPr>
        <w:t xml:space="preserve"> focus on its fiduciary duty, t</w:t>
      </w:r>
      <w:r w:rsidR="008D6FCB" w:rsidRPr="00841F3A">
        <w:rPr>
          <w:rFonts w:ascii="Arial" w:hAnsi="Arial" w:cs="Arial"/>
          <w:lang w:val="en-GB"/>
        </w:rPr>
        <w:t xml:space="preserve">he Fund </w:t>
      </w:r>
      <w:r>
        <w:rPr>
          <w:rFonts w:ascii="Arial" w:hAnsi="Arial" w:cs="Arial"/>
          <w:lang w:val="en-GB"/>
        </w:rPr>
        <w:t>will continue to prioritis</w:t>
      </w:r>
      <w:r w:rsidR="0095030E">
        <w:rPr>
          <w:rFonts w:ascii="Arial" w:hAnsi="Arial" w:cs="Arial"/>
          <w:lang w:val="en-GB"/>
        </w:rPr>
        <w:t>e</w:t>
      </w:r>
      <w:r>
        <w:rPr>
          <w:rFonts w:ascii="Arial" w:hAnsi="Arial" w:cs="Arial"/>
          <w:lang w:val="en-GB"/>
        </w:rPr>
        <w:t xml:space="preserve"> climate change and other ESG parameters to advance positive social and environmental impact from its </w:t>
      </w:r>
      <w:r w:rsidR="00A32857">
        <w:rPr>
          <w:rFonts w:ascii="Arial" w:hAnsi="Arial" w:cs="Arial"/>
          <w:lang w:val="en-GB"/>
        </w:rPr>
        <w:t xml:space="preserve">assets, </w:t>
      </w:r>
      <w:r w:rsidR="00A32857" w:rsidRPr="00841F3A">
        <w:rPr>
          <w:rFonts w:ascii="Arial" w:hAnsi="Arial" w:cs="Arial"/>
          <w:lang w:val="en-GB"/>
        </w:rPr>
        <w:t>including</w:t>
      </w:r>
      <w:r w:rsidR="00257623" w:rsidRPr="00841F3A">
        <w:rPr>
          <w:rFonts w:ascii="Arial" w:hAnsi="Arial" w:cs="Arial"/>
          <w:lang w:val="en-GB"/>
        </w:rPr>
        <w:t xml:space="preserve"> the transition towards a net-zero carbon economy</w:t>
      </w:r>
      <w:r w:rsidR="00C2796A" w:rsidRPr="00841F3A">
        <w:rPr>
          <w:rFonts w:ascii="Arial" w:hAnsi="Arial" w:cs="Arial"/>
          <w:lang w:val="en-GB"/>
        </w:rPr>
        <w:t xml:space="preserve">. </w:t>
      </w:r>
    </w:p>
    <w:p w14:paraId="7F8E66ED" w14:textId="77777777" w:rsidR="00BD5D08" w:rsidRDefault="00BD5D08" w:rsidP="0032632E">
      <w:pPr>
        <w:pStyle w:val="BodyText"/>
        <w:spacing w:before="1" w:line="242" w:lineRule="auto"/>
        <w:ind w:left="375" w:right="960"/>
        <w:jc w:val="both"/>
        <w:rPr>
          <w:rFonts w:ascii="Arial" w:hAnsi="Arial" w:cs="Arial"/>
          <w:lang w:val="en-GB"/>
        </w:rPr>
      </w:pPr>
    </w:p>
    <w:p w14:paraId="2D1CD89B" w14:textId="36533E5F" w:rsidR="001D61DF" w:rsidRPr="00A32857" w:rsidRDefault="00C209E8" w:rsidP="0032632E">
      <w:pPr>
        <w:pStyle w:val="BodyText"/>
        <w:numPr>
          <w:ilvl w:val="1"/>
          <w:numId w:val="8"/>
        </w:numPr>
        <w:spacing w:before="1" w:line="242" w:lineRule="auto"/>
        <w:ind w:right="960"/>
        <w:jc w:val="both"/>
        <w:rPr>
          <w:rFonts w:ascii="Arial" w:hAnsi="Arial" w:cs="Arial"/>
          <w:b/>
          <w:bCs/>
          <w:lang w:val="en-GB"/>
        </w:rPr>
      </w:pPr>
      <w:r>
        <w:rPr>
          <w:rFonts w:ascii="Arial" w:hAnsi="Arial" w:cs="Arial"/>
          <w:b/>
          <w:bCs/>
          <w:lang w:val="en-GB"/>
        </w:rPr>
        <w:t>Responsible Investment</w:t>
      </w:r>
      <w:r w:rsidR="001D61DF" w:rsidRPr="00A32857">
        <w:rPr>
          <w:rFonts w:ascii="Arial" w:hAnsi="Arial" w:cs="Arial"/>
          <w:b/>
          <w:bCs/>
          <w:lang w:val="en-GB"/>
        </w:rPr>
        <w:t xml:space="preserve"> priorities</w:t>
      </w:r>
    </w:p>
    <w:p w14:paraId="4BCDFB35" w14:textId="77777777" w:rsidR="001D61DF" w:rsidRDefault="001D61DF" w:rsidP="0032632E">
      <w:pPr>
        <w:pStyle w:val="BodyText"/>
        <w:spacing w:before="1" w:line="242" w:lineRule="auto"/>
        <w:ind w:left="375" w:right="960"/>
        <w:jc w:val="both"/>
        <w:rPr>
          <w:rFonts w:ascii="Arial" w:hAnsi="Arial" w:cs="Arial"/>
          <w:lang w:val="en-GB"/>
        </w:rPr>
      </w:pPr>
    </w:p>
    <w:p w14:paraId="39AAC341" w14:textId="32F7305B" w:rsidR="00BD5D08" w:rsidRPr="00841F3A" w:rsidRDefault="00BD5D08" w:rsidP="0032632E">
      <w:pPr>
        <w:pStyle w:val="BodyText"/>
        <w:spacing w:before="1" w:line="242" w:lineRule="auto"/>
        <w:ind w:left="375" w:right="960"/>
        <w:jc w:val="both"/>
        <w:rPr>
          <w:rFonts w:ascii="Arial" w:hAnsi="Arial" w:cs="Arial"/>
          <w:lang w:val="en-GB"/>
        </w:rPr>
      </w:pPr>
      <w:r>
        <w:rPr>
          <w:rFonts w:ascii="Arial" w:hAnsi="Arial" w:cs="Arial"/>
          <w:lang w:val="en-GB"/>
        </w:rPr>
        <w:t xml:space="preserve">Outlined below are the </w:t>
      </w:r>
      <w:r w:rsidR="001D61DF">
        <w:rPr>
          <w:rFonts w:ascii="Arial" w:hAnsi="Arial" w:cs="Arial"/>
          <w:lang w:val="en-GB"/>
        </w:rPr>
        <w:t xml:space="preserve">key </w:t>
      </w:r>
      <w:r w:rsidR="00C209E8">
        <w:rPr>
          <w:rFonts w:ascii="Arial" w:hAnsi="Arial" w:cs="Arial"/>
          <w:lang w:val="en-GB"/>
        </w:rPr>
        <w:t xml:space="preserve">Responsible Investment (RI) </w:t>
      </w:r>
      <w:r>
        <w:rPr>
          <w:rFonts w:ascii="Arial" w:hAnsi="Arial" w:cs="Arial"/>
          <w:lang w:val="en-GB"/>
        </w:rPr>
        <w:t>areas</w:t>
      </w:r>
      <w:r w:rsidRPr="00BD5D08">
        <w:rPr>
          <w:rFonts w:ascii="Arial" w:hAnsi="Arial" w:cs="Arial"/>
          <w:lang w:val="en-GB"/>
        </w:rPr>
        <w:t xml:space="preserve"> </w:t>
      </w:r>
      <w:r>
        <w:rPr>
          <w:rFonts w:ascii="Arial" w:hAnsi="Arial" w:cs="Arial"/>
          <w:lang w:val="en-GB"/>
        </w:rPr>
        <w:t xml:space="preserve">that </w:t>
      </w:r>
      <w:r w:rsidRPr="00BD5D08">
        <w:rPr>
          <w:rFonts w:ascii="Arial" w:hAnsi="Arial" w:cs="Arial"/>
          <w:lang w:val="en-GB"/>
        </w:rPr>
        <w:t>are relevant</w:t>
      </w:r>
      <w:r>
        <w:rPr>
          <w:rFonts w:ascii="Arial" w:hAnsi="Arial" w:cs="Arial"/>
          <w:lang w:val="en-GB"/>
        </w:rPr>
        <w:t xml:space="preserve"> to the </w:t>
      </w:r>
      <w:r w:rsidR="009D0819">
        <w:rPr>
          <w:rFonts w:ascii="Arial" w:hAnsi="Arial" w:cs="Arial"/>
          <w:lang w:val="en-GB"/>
        </w:rPr>
        <w:t>Fund’s investments</w:t>
      </w:r>
      <w:r>
        <w:rPr>
          <w:rFonts w:ascii="Arial" w:hAnsi="Arial" w:cs="Arial"/>
          <w:lang w:val="en-GB"/>
        </w:rPr>
        <w:t xml:space="preserve"> and which the Fund believes </w:t>
      </w:r>
      <w:r w:rsidRPr="00BD5D08">
        <w:rPr>
          <w:rFonts w:ascii="Arial" w:hAnsi="Arial" w:cs="Arial"/>
          <w:lang w:val="en-GB"/>
        </w:rPr>
        <w:t xml:space="preserve">to be important to </w:t>
      </w:r>
      <w:r>
        <w:rPr>
          <w:rFonts w:ascii="Arial" w:hAnsi="Arial" w:cs="Arial"/>
          <w:lang w:val="en-GB"/>
        </w:rPr>
        <w:t xml:space="preserve">its members and </w:t>
      </w:r>
      <w:r w:rsidRPr="00BD5D08">
        <w:rPr>
          <w:rFonts w:ascii="Arial" w:hAnsi="Arial" w:cs="Arial"/>
          <w:lang w:val="en-GB"/>
        </w:rPr>
        <w:t>beneficiaries</w:t>
      </w:r>
      <w:r>
        <w:rPr>
          <w:rFonts w:ascii="Arial" w:hAnsi="Arial" w:cs="Arial"/>
          <w:lang w:val="en-GB"/>
        </w:rPr>
        <w:t xml:space="preserve">. </w:t>
      </w:r>
      <w:r w:rsidR="00F4767D" w:rsidRPr="00F4767D">
        <w:rPr>
          <w:rFonts w:ascii="Arial" w:hAnsi="Arial" w:cs="Arial"/>
          <w:lang w:val="en-GB"/>
        </w:rPr>
        <w:t xml:space="preserve">These priority areas will inform our Responsible Investment thinking and will be revisited every </w:t>
      </w:r>
      <w:r w:rsidR="002A7CD4">
        <w:rPr>
          <w:rFonts w:ascii="Arial" w:hAnsi="Arial" w:cs="Arial"/>
          <w:lang w:val="en-GB"/>
        </w:rPr>
        <w:t>three</w:t>
      </w:r>
      <w:r w:rsidR="00F4767D" w:rsidRPr="00F4767D">
        <w:rPr>
          <w:rFonts w:ascii="Arial" w:hAnsi="Arial" w:cs="Arial"/>
          <w:lang w:val="en-GB"/>
        </w:rPr>
        <w:t xml:space="preserve"> years</w:t>
      </w:r>
      <w:r w:rsidR="00F4767D">
        <w:rPr>
          <w:rFonts w:ascii="Arial" w:hAnsi="Arial" w:cs="Arial"/>
          <w:lang w:val="en-GB"/>
        </w:rPr>
        <w:t xml:space="preserve"> (or earlier as relevan</w:t>
      </w:r>
      <w:r w:rsidR="007546DE">
        <w:rPr>
          <w:rFonts w:ascii="Arial" w:hAnsi="Arial" w:cs="Arial"/>
          <w:lang w:val="en-GB"/>
        </w:rPr>
        <w:t>t</w:t>
      </w:r>
      <w:r w:rsidR="00F4767D">
        <w:rPr>
          <w:rFonts w:ascii="Arial" w:hAnsi="Arial" w:cs="Arial"/>
          <w:lang w:val="en-GB"/>
        </w:rPr>
        <w:t>)</w:t>
      </w:r>
      <w:r w:rsidR="00F4767D" w:rsidRPr="00F4767D">
        <w:rPr>
          <w:rFonts w:ascii="Arial" w:hAnsi="Arial" w:cs="Arial"/>
          <w:lang w:val="en-GB"/>
        </w:rPr>
        <w:t>.</w:t>
      </w:r>
    </w:p>
    <w:p w14:paraId="049C5EB0" w14:textId="77777777" w:rsidR="00A241AF" w:rsidRPr="00841F3A" w:rsidRDefault="00A241AF" w:rsidP="0032632E">
      <w:pPr>
        <w:pStyle w:val="BodyText"/>
        <w:spacing w:before="1" w:line="242" w:lineRule="auto"/>
        <w:ind w:left="375" w:right="960"/>
        <w:jc w:val="both"/>
        <w:rPr>
          <w:rFonts w:ascii="Arial" w:hAnsi="Arial" w:cs="Arial"/>
          <w:lang w:val="en-GB"/>
        </w:rPr>
      </w:pPr>
    </w:p>
    <w:p w14:paraId="7DE93FA1" w14:textId="68BF8F06" w:rsidR="00845A4B" w:rsidRPr="00841F3A" w:rsidRDefault="00845A4B" w:rsidP="0032632E">
      <w:pPr>
        <w:pStyle w:val="BodyText"/>
        <w:numPr>
          <w:ilvl w:val="2"/>
          <w:numId w:val="8"/>
        </w:numPr>
        <w:tabs>
          <w:tab w:val="left" w:pos="426"/>
          <w:tab w:val="left" w:pos="993"/>
        </w:tabs>
        <w:spacing w:before="1" w:line="242" w:lineRule="auto"/>
        <w:ind w:left="709" w:right="960" w:hanging="283"/>
        <w:jc w:val="both"/>
        <w:rPr>
          <w:rFonts w:ascii="Arial" w:hAnsi="Arial" w:cs="Arial"/>
          <w:b/>
          <w:lang w:val="en-GB"/>
        </w:rPr>
      </w:pPr>
      <w:r w:rsidRPr="00841F3A">
        <w:rPr>
          <w:rFonts w:ascii="Arial" w:hAnsi="Arial" w:cs="Arial"/>
          <w:b/>
          <w:lang w:val="en-GB"/>
        </w:rPr>
        <w:t xml:space="preserve">Climate </w:t>
      </w:r>
      <w:r w:rsidR="00BD5D08">
        <w:rPr>
          <w:rFonts w:ascii="Arial" w:hAnsi="Arial" w:cs="Arial"/>
          <w:b/>
          <w:lang w:val="en-GB"/>
        </w:rPr>
        <w:t xml:space="preserve">Change </w:t>
      </w:r>
    </w:p>
    <w:p w14:paraId="783AFE71" w14:textId="77777777" w:rsidR="00845A4B" w:rsidRPr="00841F3A" w:rsidRDefault="00845A4B" w:rsidP="0032632E">
      <w:pPr>
        <w:pStyle w:val="BodyText"/>
        <w:spacing w:before="1" w:line="242" w:lineRule="auto"/>
        <w:ind w:left="375" w:right="960"/>
        <w:jc w:val="both"/>
        <w:rPr>
          <w:rFonts w:ascii="Arial" w:hAnsi="Arial" w:cs="Arial"/>
          <w:lang w:val="en-GB"/>
        </w:rPr>
      </w:pPr>
    </w:p>
    <w:p w14:paraId="0A40381B" w14:textId="1D63E8D0" w:rsidR="00F93C22" w:rsidRDefault="007F48DE" w:rsidP="0032632E">
      <w:pPr>
        <w:pStyle w:val="BodyText"/>
        <w:spacing w:before="1" w:line="242" w:lineRule="auto"/>
        <w:ind w:left="375" w:right="960"/>
        <w:jc w:val="both"/>
        <w:rPr>
          <w:rFonts w:ascii="Arial" w:hAnsi="Arial" w:cs="Arial"/>
          <w:lang w:val="en-GB"/>
        </w:rPr>
      </w:pPr>
      <w:r w:rsidRPr="00841F3A">
        <w:rPr>
          <w:rFonts w:ascii="Arial" w:hAnsi="Arial" w:cs="Arial"/>
          <w:lang w:val="en-GB"/>
        </w:rPr>
        <w:t>The Fund</w:t>
      </w:r>
      <w:r w:rsidR="00845A4B" w:rsidRPr="00841F3A">
        <w:rPr>
          <w:rFonts w:ascii="Arial" w:hAnsi="Arial" w:cs="Arial"/>
          <w:lang w:val="en-GB"/>
        </w:rPr>
        <w:t xml:space="preserve"> believes that climate change creates both investment risks and opportunities for the Fund’s investments and </w:t>
      </w:r>
      <w:r w:rsidR="00AA3BF7" w:rsidRPr="00841F3A">
        <w:rPr>
          <w:rFonts w:ascii="Arial" w:hAnsi="Arial" w:cs="Arial"/>
          <w:lang w:val="en-GB"/>
        </w:rPr>
        <w:t>there is a</w:t>
      </w:r>
      <w:r w:rsidR="00845A4B" w:rsidRPr="00841F3A">
        <w:rPr>
          <w:rFonts w:ascii="Arial" w:hAnsi="Arial" w:cs="Arial"/>
          <w:lang w:val="en-GB"/>
        </w:rPr>
        <w:t xml:space="preserve"> need to advocate for an orderly transition to a climate resilient economy.</w:t>
      </w:r>
      <w:r w:rsidR="00E86EFA" w:rsidRPr="00841F3A">
        <w:rPr>
          <w:rFonts w:ascii="Arial" w:hAnsi="Arial" w:cs="Arial"/>
          <w:lang w:val="en-GB"/>
        </w:rPr>
        <w:t xml:space="preserve"> </w:t>
      </w:r>
      <w:r w:rsidR="00345C7D" w:rsidRPr="00841F3A">
        <w:rPr>
          <w:rFonts w:ascii="Arial" w:hAnsi="Arial" w:cs="Arial"/>
          <w:lang w:val="en-GB"/>
        </w:rPr>
        <w:t>The Fund is committed to achieving net-zero status across its investment portfolio by 2030</w:t>
      </w:r>
      <w:r w:rsidR="00345C7D">
        <w:rPr>
          <w:rFonts w:ascii="Arial" w:hAnsi="Arial" w:cs="Arial"/>
          <w:lang w:val="en-GB"/>
        </w:rPr>
        <w:t>. As part of this,</w:t>
      </w:r>
      <w:r w:rsidR="00F25C72">
        <w:rPr>
          <w:rFonts w:ascii="Arial" w:hAnsi="Arial" w:cs="Arial"/>
          <w:lang w:val="en-GB"/>
        </w:rPr>
        <w:t xml:space="preserve"> t</w:t>
      </w:r>
      <w:r w:rsidR="00D94E23" w:rsidRPr="00841F3A">
        <w:rPr>
          <w:rFonts w:ascii="Arial" w:hAnsi="Arial" w:cs="Arial"/>
          <w:lang w:val="en-GB"/>
        </w:rPr>
        <w:t xml:space="preserve">he Fund has committed to having no direct investments in companies </w:t>
      </w:r>
      <w:r w:rsidR="0055335D">
        <w:rPr>
          <w:rFonts w:ascii="Arial" w:hAnsi="Arial" w:cs="Arial"/>
          <w:lang w:val="en-GB"/>
        </w:rPr>
        <w:t xml:space="preserve">engaged in conventional or non-conventional </w:t>
      </w:r>
      <w:r w:rsidR="00D94E23" w:rsidRPr="00841F3A">
        <w:rPr>
          <w:rFonts w:ascii="Arial" w:hAnsi="Arial" w:cs="Arial"/>
          <w:lang w:val="en-GB"/>
        </w:rPr>
        <w:t>fossil fuels</w:t>
      </w:r>
      <w:r w:rsidR="00D94E23">
        <w:rPr>
          <w:rFonts w:ascii="Arial" w:hAnsi="Arial" w:cs="Arial"/>
          <w:lang w:val="en-GB"/>
        </w:rPr>
        <w:t xml:space="preserve"> related activities</w:t>
      </w:r>
      <w:r w:rsidR="00D94E23" w:rsidRPr="00841F3A">
        <w:rPr>
          <w:rFonts w:ascii="Arial" w:hAnsi="Arial" w:cs="Arial"/>
          <w:lang w:val="en-GB"/>
        </w:rPr>
        <w:t>.</w:t>
      </w:r>
    </w:p>
    <w:p w14:paraId="486D9C0F" w14:textId="77777777" w:rsidR="00165D45" w:rsidRDefault="00165D45" w:rsidP="0032632E">
      <w:pPr>
        <w:pStyle w:val="BodyText"/>
        <w:spacing w:before="1" w:line="242" w:lineRule="auto"/>
        <w:ind w:left="375" w:right="960"/>
        <w:jc w:val="both"/>
        <w:rPr>
          <w:rFonts w:ascii="Arial" w:hAnsi="Arial" w:cs="Arial"/>
          <w:lang w:val="en-GB"/>
        </w:rPr>
      </w:pPr>
    </w:p>
    <w:p w14:paraId="38F05D7D" w14:textId="003A60A6" w:rsidR="00D94E23" w:rsidRDefault="00F25C72" w:rsidP="0032632E">
      <w:pPr>
        <w:pStyle w:val="BodyText"/>
        <w:spacing w:before="1" w:after="240" w:line="242" w:lineRule="auto"/>
        <w:ind w:right="960" w:firstLine="375"/>
        <w:jc w:val="both"/>
        <w:rPr>
          <w:rFonts w:ascii="Arial" w:hAnsi="Arial" w:cs="Arial"/>
          <w:lang w:val="en-GB"/>
        </w:rPr>
      </w:pPr>
      <w:r>
        <w:rPr>
          <w:rFonts w:ascii="Arial" w:hAnsi="Arial" w:cs="Arial"/>
          <w:lang w:val="en-GB"/>
        </w:rPr>
        <w:t>To continue to advance its net-zero targets i</w:t>
      </w:r>
      <w:r w:rsidR="00D94E23">
        <w:rPr>
          <w:rFonts w:ascii="Arial" w:hAnsi="Arial" w:cs="Arial"/>
          <w:lang w:val="en-GB"/>
        </w:rPr>
        <w:t>n relation to climate change, the Fund will:</w:t>
      </w:r>
    </w:p>
    <w:p w14:paraId="31BBB90B" w14:textId="2D087E74" w:rsidR="00165D45" w:rsidRPr="00165D45" w:rsidRDefault="00D94E23" w:rsidP="0032632E">
      <w:pPr>
        <w:pStyle w:val="BodyText"/>
        <w:numPr>
          <w:ilvl w:val="0"/>
          <w:numId w:val="4"/>
        </w:numPr>
        <w:spacing w:before="1" w:after="120" w:line="242" w:lineRule="auto"/>
        <w:ind w:left="1094" w:right="958" w:hanging="357"/>
        <w:jc w:val="both"/>
        <w:rPr>
          <w:rFonts w:ascii="Arial" w:hAnsi="Arial" w:cs="Arial"/>
          <w:lang w:val="en-GB"/>
        </w:rPr>
      </w:pPr>
      <w:r>
        <w:rPr>
          <w:rFonts w:ascii="Arial" w:hAnsi="Arial" w:cs="Arial"/>
          <w:lang w:val="en-GB"/>
        </w:rPr>
        <w:t xml:space="preserve">understand and monitor the </w:t>
      </w:r>
      <w:r w:rsidR="00165D45" w:rsidRPr="00165D45">
        <w:rPr>
          <w:rFonts w:ascii="Arial" w:hAnsi="Arial" w:cs="Arial"/>
          <w:lang w:val="en-GB"/>
        </w:rPr>
        <w:t>emissions profile</w:t>
      </w:r>
      <w:r>
        <w:rPr>
          <w:rFonts w:ascii="Arial" w:hAnsi="Arial" w:cs="Arial"/>
          <w:lang w:val="en-GB"/>
        </w:rPr>
        <w:t xml:space="preserve"> </w:t>
      </w:r>
      <w:r w:rsidR="006A6513">
        <w:rPr>
          <w:rFonts w:ascii="Arial" w:hAnsi="Arial" w:cs="Arial"/>
          <w:lang w:val="en-GB"/>
        </w:rPr>
        <w:t xml:space="preserve">of all assets </w:t>
      </w:r>
      <w:r>
        <w:rPr>
          <w:rFonts w:ascii="Arial" w:hAnsi="Arial" w:cs="Arial"/>
          <w:lang w:val="en-GB"/>
        </w:rPr>
        <w:t>on a</w:t>
      </w:r>
      <w:r w:rsidR="006A6513">
        <w:rPr>
          <w:rFonts w:ascii="Arial" w:hAnsi="Arial" w:cs="Arial"/>
          <w:lang w:val="en-GB"/>
        </w:rPr>
        <w:t xml:space="preserve"> regular</w:t>
      </w:r>
      <w:r>
        <w:rPr>
          <w:rFonts w:ascii="Arial" w:hAnsi="Arial" w:cs="Arial"/>
          <w:lang w:val="en-GB"/>
        </w:rPr>
        <w:t xml:space="preserve"> basis</w:t>
      </w:r>
    </w:p>
    <w:p w14:paraId="40868FF3" w14:textId="5644F605" w:rsidR="00165D45" w:rsidRPr="00165D45" w:rsidRDefault="00165D45" w:rsidP="0032632E">
      <w:pPr>
        <w:pStyle w:val="BodyText"/>
        <w:numPr>
          <w:ilvl w:val="0"/>
          <w:numId w:val="4"/>
        </w:numPr>
        <w:spacing w:before="1" w:after="120" w:line="242" w:lineRule="auto"/>
        <w:ind w:left="1094" w:right="958" w:hanging="357"/>
        <w:jc w:val="both"/>
        <w:rPr>
          <w:rFonts w:ascii="Arial" w:hAnsi="Arial" w:cs="Arial"/>
          <w:lang w:val="en-GB"/>
        </w:rPr>
      </w:pPr>
      <w:r w:rsidRPr="00165D45">
        <w:rPr>
          <w:rFonts w:ascii="Arial" w:hAnsi="Arial" w:cs="Arial"/>
          <w:lang w:val="en-GB"/>
        </w:rPr>
        <w:t xml:space="preserve">expect </w:t>
      </w:r>
      <w:r w:rsidR="006A6513">
        <w:rPr>
          <w:rFonts w:ascii="Arial" w:hAnsi="Arial" w:cs="Arial"/>
          <w:lang w:val="en-GB"/>
        </w:rPr>
        <w:t xml:space="preserve">ongoing LCIV and investment manager </w:t>
      </w:r>
      <w:r w:rsidRPr="00165D45">
        <w:rPr>
          <w:rFonts w:ascii="Arial" w:hAnsi="Arial" w:cs="Arial"/>
          <w:lang w:val="en-GB"/>
        </w:rPr>
        <w:t>engagement with</w:t>
      </w:r>
      <w:r w:rsidR="004D3B03">
        <w:rPr>
          <w:rFonts w:ascii="Arial" w:hAnsi="Arial" w:cs="Arial"/>
          <w:lang w:val="en-GB"/>
        </w:rPr>
        <w:t xml:space="preserve"> the</w:t>
      </w:r>
      <w:r w:rsidRPr="00165D45">
        <w:rPr>
          <w:rFonts w:ascii="Arial" w:hAnsi="Arial" w:cs="Arial"/>
          <w:lang w:val="en-GB"/>
        </w:rPr>
        <w:t xml:space="preserve"> highest-emitting companies</w:t>
      </w:r>
      <w:r w:rsidR="00D94E23">
        <w:rPr>
          <w:rFonts w:ascii="Arial" w:hAnsi="Arial" w:cs="Arial"/>
          <w:lang w:val="en-GB"/>
        </w:rPr>
        <w:t xml:space="preserve"> </w:t>
      </w:r>
      <w:r w:rsidR="006A6513">
        <w:rPr>
          <w:rFonts w:ascii="Arial" w:hAnsi="Arial" w:cs="Arial"/>
          <w:lang w:val="en-GB"/>
        </w:rPr>
        <w:t xml:space="preserve">in the portfolio </w:t>
      </w:r>
      <w:r w:rsidR="00D94E23">
        <w:rPr>
          <w:rFonts w:ascii="Arial" w:hAnsi="Arial" w:cs="Arial"/>
          <w:lang w:val="en-GB"/>
        </w:rPr>
        <w:t xml:space="preserve">to advance decarbonisation across their operations </w:t>
      </w:r>
    </w:p>
    <w:p w14:paraId="77F5B052" w14:textId="77777777" w:rsidR="00806037" w:rsidRDefault="00165D45" w:rsidP="0032632E">
      <w:pPr>
        <w:pStyle w:val="BodyText"/>
        <w:numPr>
          <w:ilvl w:val="0"/>
          <w:numId w:val="4"/>
        </w:numPr>
        <w:spacing w:before="1" w:after="120" w:line="242" w:lineRule="auto"/>
        <w:ind w:left="1094" w:right="958" w:hanging="357"/>
        <w:jc w:val="both"/>
        <w:rPr>
          <w:rFonts w:ascii="Arial" w:hAnsi="Arial" w:cs="Arial"/>
          <w:lang w:val="en-GB"/>
        </w:rPr>
      </w:pPr>
      <w:r w:rsidRPr="00165D45">
        <w:rPr>
          <w:rFonts w:ascii="Arial" w:hAnsi="Arial" w:cs="Arial"/>
          <w:lang w:val="en-GB"/>
        </w:rPr>
        <w:t>encourage allocation to climate-solution strategies where they meet risk/return objectives</w:t>
      </w:r>
    </w:p>
    <w:p w14:paraId="2884F1A0" w14:textId="56551E04" w:rsidR="00845A4B" w:rsidRPr="00806037" w:rsidRDefault="00806037" w:rsidP="0032632E">
      <w:pPr>
        <w:pStyle w:val="BodyText"/>
        <w:numPr>
          <w:ilvl w:val="0"/>
          <w:numId w:val="4"/>
        </w:numPr>
        <w:spacing w:before="1" w:after="120" w:line="242" w:lineRule="auto"/>
        <w:ind w:left="1094" w:right="958" w:hanging="357"/>
        <w:jc w:val="both"/>
        <w:rPr>
          <w:rFonts w:ascii="Arial" w:hAnsi="Arial" w:cs="Arial"/>
          <w:lang w:val="en-GB"/>
        </w:rPr>
      </w:pPr>
      <w:r>
        <w:rPr>
          <w:rFonts w:ascii="Arial" w:hAnsi="Arial" w:cs="Arial"/>
          <w:lang w:val="en-GB"/>
        </w:rPr>
        <w:t>c</w:t>
      </w:r>
      <w:r w:rsidR="00D94E23" w:rsidRPr="00806037">
        <w:rPr>
          <w:rFonts w:ascii="Arial" w:hAnsi="Arial" w:cs="Arial"/>
          <w:lang w:val="en-GB"/>
        </w:rPr>
        <w:t>onsider</w:t>
      </w:r>
      <w:r w:rsidR="00165D45" w:rsidRPr="00806037">
        <w:rPr>
          <w:rFonts w:ascii="Arial" w:hAnsi="Arial" w:cs="Arial"/>
          <w:lang w:val="en-GB"/>
        </w:rPr>
        <w:t xml:space="preserve"> TCFD-aligned reporting </w:t>
      </w:r>
      <w:r w:rsidR="00D94E23" w:rsidRPr="00806037">
        <w:rPr>
          <w:rFonts w:ascii="Arial" w:hAnsi="Arial" w:cs="Arial"/>
          <w:lang w:val="en-GB"/>
        </w:rPr>
        <w:t>on an annual basis</w:t>
      </w:r>
      <w:r w:rsidR="00F93C22" w:rsidRPr="00806037">
        <w:rPr>
          <w:rFonts w:ascii="Arial" w:hAnsi="Arial" w:cs="Arial"/>
          <w:lang w:val="en-GB"/>
        </w:rPr>
        <w:t xml:space="preserve">. </w:t>
      </w:r>
    </w:p>
    <w:p w14:paraId="0F365F78" w14:textId="77777777" w:rsidR="00F93C22" w:rsidRDefault="00F93C22" w:rsidP="0032632E">
      <w:pPr>
        <w:pStyle w:val="BodyText"/>
        <w:spacing w:before="1" w:line="242" w:lineRule="auto"/>
        <w:ind w:left="375" w:right="960"/>
        <w:jc w:val="both"/>
        <w:rPr>
          <w:rFonts w:ascii="Arial" w:hAnsi="Arial" w:cs="Arial"/>
          <w:lang w:val="en-GB"/>
        </w:rPr>
      </w:pPr>
    </w:p>
    <w:p w14:paraId="5DE69C48" w14:textId="719FA099" w:rsidR="00BD5D08" w:rsidRPr="00841F3A" w:rsidRDefault="00BD5D08" w:rsidP="0032632E">
      <w:pPr>
        <w:pStyle w:val="BodyText"/>
        <w:numPr>
          <w:ilvl w:val="2"/>
          <w:numId w:val="8"/>
        </w:numPr>
        <w:tabs>
          <w:tab w:val="left" w:pos="426"/>
          <w:tab w:val="left" w:pos="993"/>
        </w:tabs>
        <w:spacing w:before="1" w:line="242" w:lineRule="auto"/>
        <w:ind w:left="709" w:right="960" w:hanging="283"/>
        <w:jc w:val="both"/>
        <w:rPr>
          <w:rFonts w:ascii="Arial" w:hAnsi="Arial" w:cs="Arial"/>
          <w:b/>
          <w:lang w:val="en-GB"/>
        </w:rPr>
      </w:pPr>
      <w:r>
        <w:rPr>
          <w:rFonts w:ascii="Arial" w:hAnsi="Arial" w:cs="Arial"/>
          <w:b/>
          <w:lang w:val="en-GB"/>
        </w:rPr>
        <w:t>Conflict Zones</w:t>
      </w:r>
    </w:p>
    <w:p w14:paraId="73067190" w14:textId="77777777" w:rsidR="00BD5D08" w:rsidRPr="00841F3A" w:rsidRDefault="00BD5D08" w:rsidP="0032632E">
      <w:pPr>
        <w:pStyle w:val="BodyText"/>
        <w:spacing w:before="1" w:line="242" w:lineRule="auto"/>
        <w:ind w:left="375" w:right="960"/>
        <w:jc w:val="both"/>
        <w:rPr>
          <w:rFonts w:ascii="Arial" w:hAnsi="Arial" w:cs="Arial"/>
          <w:lang w:val="en-GB"/>
        </w:rPr>
      </w:pPr>
    </w:p>
    <w:p w14:paraId="5EF81575" w14:textId="68611A57" w:rsidR="00814DA4" w:rsidRDefault="00814DA4" w:rsidP="0032632E">
      <w:pPr>
        <w:pStyle w:val="BodyText"/>
        <w:spacing w:before="1" w:after="240" w:line="242" w:lineRule="auto"/>
        <w:ind w:left="375" w:right="960"/>
        <w:jc w:val="both"/>
        <w:rPr>
          <w:rFonts w:ascii="Arial" w:hAnsi="Arial" w:cs="Arial"/>
        </w:rPr>
      </w:pPr>
      <w:r>
        <w:rPr>
          <w:rFonts w:ascii="Arial" w:hAnsi="Arial" w:cs="Arial"/>
          <w:lang w:val="en-GB"/>
        </w:rPr>
        <w:t>Considering various recent geopolitical events globally, a</w:t>
      </w:r>
      <w:r w:rsidRPr="00814DA4">
        <w:rPr>
          <w:rFonts w:ascii="Arial" w:hAnsi="Arial" w:cs="Arial"/>
          <w:lang w:val="en-GB"/>
        </w:rPr>
        <w:t>s part of our 202</w:t>
      </w:r>
      <w:r w:rsidR="00652719">
        <w:rPr>
          <w:rFonts w:ascii="Arial" w:hAnsi="Arial" w:cs="Arial"/>
          <w:lang w:val="en-GB"/>
        </w:rPr>
        <w:t>6</w:t>
      </w:r>
      <w:r w:rsidRPr="00814DA4">
        <w:rPr>
          <w:rFonts w:ascii="Arial" w:hAnsi="Arial" w:cs="Arial"/>
          <w:lang w:val="en-GB"/>
        </w:rPr>
        <w:t xml:space="preserve"> review of </w:t>
      </w:r>
      <w:r>
        <w:rPr>
          <w:rFonts w:ascii="Arial" w:hAnsi="Arial" w:cs="Arial"/>
          <w:lang w:val="en-GB"/>
        </w:rPr>
        <w:t xml:space="preserve">the Policy, </w:t>
      </w:r>
      <w:r w:rsidRPr="00814DA4">
        <w:rPr>
          <w:rFonts w:ascii="Arial" w:hAnsi="Arial" w:cs="Arial"/>
          <w:lang w:val="en-GB"/>
        </w:rPr>
        <w:t xml:space="preserve">we have also identified the need to articulate </w:t>
      </w:r>
      <w:r>
        <w:rPr>
          <w:rFonts w:ascii="Arial" w:hAnsi="Arial" w:cs="Arial"/>
          <w:lang w:val="en-GB"/>
        </w:rPr>
        <w:t>the Fund’s</w:t>
      </w:r>
      <w:r w:rsidRPr="00814DA4">
        <w:rPr>
          <w:rFonts w:ascii="Arial" w:hAnsi="Arial" w:cs="Arial"/>
          <w:lang w:val="en-GB"/>
        </w:rPr>
        <w:t xml:space="preserve"> approach to </w:t>
      </w:r>
      <w:r>
        <w:rPr>
          <w:rFonts w:ascii="Arial" w:hAnsi="Arial" w:cs="Arial"/>
          <w:lang w:val="en-GB"/>
        </w:rPr>
        <w:t xml:space="preserve">investments in </w:t>
      </w:r>
      <w:r w:rsidRPr="00814DA4">
        <w:rPr>
          <w:rFonts w:ascii="Arial" w:hAnsi="Arial" w:cs="Arial"/>
          <w:lang w:val="en-GB"/>
        </w:rPr>
        <w:t xml:space="preserve">conflict zones. We know that this area is particularly important to our </w:t>
      </w:r>
      <w:r w:rsidR="009629C3">
        <w:rPr>
          <w:rFonts w:ascii="Arial" w:hAnsi="Arial" w:cs="Arial"/>
          <w:lang w:val="en-GB"/>
        </w:rPr>
        <w:t xml:space="preserve">scheme </w:t>
      </w:r>
      <w:r>
        <w:rPr>
          <w:rFonts w:ascii="Arial" w:hAnsi="Arial" w:cs="Arial"/>
          <w:lang w:val="en-GB"/>
        </w:rPr>
        <w:t xml:space="preserve">members, </w:t>
      </w:r>
      <w:r w:rsidRPr="00814DA4">
        <w:rPr>
          <w:rFonts w:ascii="Arial" w:hAnsi="Arial" w:cs="Arial"/>
          <w:lang w:val="en-GB"/>
        </w:rPr>
        <w:t>and local community. The position outlined below will help us to determine appropriate action where there are concerns about human rights in conflict zones</w:t>
      </w:r>
      <w:r>
        <w:rPr>
          <w:rFonts w:ascii="Arial" w:hAnsi="Arial" w:cs="Arial"/>
          <w:lang w:val="en-GB"/>
        </w:rPr>
        <w:t>.</w:t>
      </w:r>
    </w:p>
    <w:p w14:paraId="62525E4D" w14:textId="7DEF435C" w:rsidR="00A83F4A" w:rsidRDefault="006A6513" w:rsidP="0032632E">
      <w:pPr>
        <w:pStyle w:val="BodyText"/>
        <w:spacing w:before="1" w:after="240" w:line="242" w:lineRule="auto"/>
        <w:ind w:left="375" w:right="960"/>
        <w:jc w:val="both"/>
        <w:rPr>
          <w:rFonts w:ascii="Arial" w:hAnsi="Arial" w:cs="Arial"/>
        </w:rPr>
      </w:pPr>
      <w:r w:rsidRPr="006A6513">
        <w:rPr>
          <w:rFonts w:ascii="Arial" w:hAnsi="Arial" w:cs="Arial"/>
        </w:rPr>
        <w:t xml:space="preserve">A conflict zone is any area experiencing significant and ongoing violence, armed conflict, civil </w:t>
      </w:r>
      <w:r w:rsidRPr="006A6513">
        <w:rPr>
          <w:rFonts w:ascii="Arial" w:hAnsi="Arial" w:cs="Arial"/>
        </w:rPr>
        <w:lastRenderedPageBreak/>
        <w:t>unrest, or severe political instability</w:t>
      </w:r>
      <w:r>
        <w:rPr>
          <w:rStyle w:val="FootnoteReference"/>
          <w:rFonts w:ascii="Arial" w:hAnsi="Arial" w:cs="Arial"/>
        </w:rPr>
        <w:footnoteReference w:id="1"/>
      </w:r>
      <w:r>
        <w:rPr>
          <w:rFonts w:ascii="Arial" w:hAnsi="Arial" w:cs="Arial"/>
        </w:rPr>
        <w:t xml:space="preserve">. </w:t>
      </w:r>
    </w:p>
    <w:p w14:paraId="23B3BF1D" w14:textId="14D429D3" w:rsidR="00422F0A" w:rsidRDefault="00422F0A" w:rsidP="0032632E">
      <w:pPr>
        <w:pStyle w:val="BodyText"/>
        <w:spacing w:before="1" w:line="242" w:lineRule="auto"/>
        <w:ind w:left="375" w:right="960"/>
        <w:jc w:val="both"/>
        <w:rPr>
          <w:rFonts w:ascii="Arial" w:hAnsi="Arial" w:cs="Arial"/>
          <w:lang w:val="en-GB"/>
        </w:rPr>
      </w:pPr>
      <w:r>
        <w:rPr>
          <w:rFonts w:ascii="Arial" w:hAnsi="Arial" w:cs="Arial"/>
          <w:lang w:val="en-GB"/>
        </w:rPr>
        <w:t>A</w:t>
      </w:r>
      <w:r w:rsidRPr="00422F0A">
        <w:rPr>
          <w:rFonts w:ascii="Arial" w:hAnsi="Arial" w:cs="Arial"/>
          <w:lang w:val="en-GB"/>
        </w:rPr>
        <w:t xml:space="preserve"> company’s presence</w:t>
      </w:r>
      <w:r>
        <w:rPr>
          <w:rFonts w:ascii="Arial" w:hAnsi="Arial" w:cs="Arial"/>
          <w:lang w:val="en-GB"/>
        </w:rPr>
        <w:t>/operations in conflict zones</w:t>
      </w:r>
      <w:r w:rsidRPr="00422F0A">
        <w:rPr>
          <w:rFonts w:ascii="Arial" w:hAnsi="Arial" w:cs="Arial"/>
          <w:lang w:val="en-GB"/>
        </w:rPr>
        <w:t xml:space="preserve"> does not in itself indicate wrongdoing</w:t>
      </w:r>
      <w:r>
        <w:rPr>
          <w:rFonts w:ascii="Arial" w:hAnsi="Arial" w:cs="Arial"/>
          <w:lang w:val="en-GB"/>
        </w:rPr>
        <w:t xml:space="preserve">. </w:t>
      </w:r>
      <w:r w:rsidR="00BD5D08" w:rsidRPr="00841F3A">
        <w:rPr>
          <w:rFonts w:ascii="Arial" w:hAnsi="Arial" w:cs="Arial"/>
          <w:lang w:val="en-GB"/>
        </w:rPr>
        <w:t xml:space="preserve">The </w:t>
      </w:r>
      <w:r>
        <w:rPr>
          <w:rFonts w:ascii="Arial" w:hAnsi="Arial" w:cs="Arial"/>
          <w:lang w:val="en-GB"/>
        </w:rPr>
        <w:t xml:space="preserve">focus of the </w:t>
      </w:r>
      <w:r w:rsidR="00BD5D08" w:rsidRPr="00841F3A">
        <w:rPr>
          <w:rFonts w:ascii="Arial" w:hAnsi="Arial" w:cs="Arial"/>
          <w:lang w:val="en-GB"/>
        </w:rPr>
        <w:t xml:space="preserve">Fund </w:t>
      </w:r>
      <w:r>
        <w:rPr>
          <w:rFonts w:ascii="Arial" w:hAnsi="Arial" w:cs="Arial"/>
          <w:lang w:val="en-GB"/>
        </w:rPr>
        <w:t>is on credible and proven instances of human rights violations linked to conflicts. T</w:t>
      </w:r>
      <w:r w:rsidRPr="00422F0A">
        <w:rPr>
          <w:rFonts w:ascii="Arial" w:hAnsi="Arial" w:cs="Arial"/>
          <w:lang w:val="en-GB"/>
        </w:rPr>
        <w:t xml:space="preserve">he Fund </w:t>
      </w:r>
      <w:r>
        <w:rPr>
          <w:rFonts w:ascii="Arial" w:hAnsi="Arial" w:cs="Arial"/>
          <w:lang w:val="en-GB"/>
        </w:rPr>
        <w:t xml:space="preserve">will not </w:t>
      </w:r>
      <w:r w:rsidRPr="00422F0A">
        <w:rPr>
          <w:rFonts w:ascii="Arial" w:hAnsi="Arial" w:cs="Arial"/>
          <w:lang w:val="en-GB"/>
        </w:rPr>
        <w:t xml:space="preserve">apply </w:t>
      </w:r>
      <w:r>
        <w:rPr>
          <w:rFonts w:ascii="Arial" w:hAnsi="Arial" w:cs="Arial"/>
          <w:lang w:val="en-GB"/>
        </w:rPr>
        <w:t xml:space="preserve">blanket </w:t>
      </w:r>
      <w:r w:rsidRPr="00422F0A">
        <w:rPr>
          <w:rFonts w:ascii="Arial" w:hAnsi="Arial" w:cs="Arial"/>
          <w:lang w:val="en-GB"/>
        </w:rPr>
        <w:t>geographic boycotts</w:t>
      </w:r>
      <w:r>
        <w:rPr>
          <w:rFonts w:ascii="Arial" w:hAnsi="Arial" w:cs="Arial"/>
          <w:lang w:val="en-GB"/>
        </w:rPr>
        <w:t xml:space="preserve"> but will rely on </w:t>
      </w:r>
      <w:r w:rsidRPr="00422F0A">
        <w:rPr>
          <w:rFonts w:ascii="Arial" w:hAnsi="Arial" w:cs="Arial"/>
          <w:lang w:val="en-GB"/>
        </w:rPr>
        <w:t>authoritative international bodies, including the United Nations and the UK Government, to identify conflict-affected areas and associated human-rights risks and</w:t>
      </w:r>
      <w:r>
        <w:rPr>
          <w:rFonts w:ascii="Arial" w:hAnsi="Arial" w:cs="Arial"/>
          <w:lang w:val="en-GB"/>
        </w:rPr>
        <w:t xml:space="preserve">/or any violations. </w:t>
      </w:r>
      <w:r w:rsidRPr="00422F0A">
        <w:rPr>
          <w:rFonts w:ascii="Arial" w:hAnsi="Arial" w:cs="Arial"/>
          <w:lang w:val="en-GB"/>
        </w:rPr>
        <w:t xml:space="preserve"> </w:t>
      </w:r>
    </w:p>
    <w:p w14:paraId="4033A69B" w14:textId="77777777" w:rsidR="00A83F4A" w:rsidRDefault="00A83F4A" w:rsidP="0032632E">
      <w:pPr>
        <w:pStyle w:val="BodyText"/>
        <w:spacing w:before="1" w:line="242" w:lineRule="auto"/>
        <w:ind w:left="375" w:right="960"/>
        <w:jc w:val="both"/>
        <w:rPr>
          <w:rFonts w:ascii="Arial" w:hAnsi="Arial" w:cs="Arial"/>
          <w:lang w:val="en-GB"/>
        </w:rPr>
      </w:pPr>
    </w:p>
    <w:p w14:paraId="401C407F" w14:textId="7A062296" w:rsidR="00A83F4A" w:rsidRDefault="00A83F4A" w:rsidP="0032632E">
      <w:pPr>
        <w:pStyle w:val="BodyText"/>
        <w:spacing w:before="1" w:line="242" w:lineRule="auto"/>
        <w:ind w:left="375" w:right="960"/>
        <w:jc w:val="both"/>
        <w:rPr>
          <w:rFonts w:ascii="Arial" w:hAnsi="Arial" w:cs="Arial"/>
          <w:lang w:val="en-GB"/>
        </w:rPr>
      </w:pPr>
      <w:r>
        <w:rPr>
          <w:rFonts w:ascii="Arial" w:hAnsi="Arial" w:cs="Arial"/>
          <w:lang w:val="en-GB"/>
        </w:rPr>
        <w:t xml:space="preserve">In relation to conflict zones, </w:t>
      </w:r>
      <w:r w:rsidR="006B5901">
        <w:rPr>
          <w:rFonts w:ascii="Arial" w:hAnsi="Arial" w:cs="Arial"/>
          <w:lang w:val="en-GB"/>
        </w:rPr>
        <w:t>t</w:t>
      </w:r>
      <w:r>
        <w:rPr>
          <w:rFonts w:ascii="Arial" w:hAnsi="Arial" w:cs="Arial"/>
          <w:lang w:val="en-GB"/>
        </w:rPr>
        <w:t xml:space="preserve">he Fund will not consider lists published by any </w:t>
      </w:r>
      <w:r w:rsidR="00814DA4">
        <w:rPr>
          <w:rFonts w:ascii="Arial" w:hAnsi="Arial" w:cs="Arial"/>
          <w:lang w:val="en-GB"/>
        </w:rPr>
        <w:t xml:space="preserve">advocacy or </w:t>
      </w:r>
      <w:r>
        <w:rPr>
          <w:rFonts w:ascii="Arial" w:hAnsi="Arial" w:cs="Arial"/>
          <w:lang w:val="en-GB"/>
        </w:rPr>
        <w:t xml:space="preserve">activist groups </w:t>
      </w:r>
      <w:r w:rsidR="00814DA4">
        <w:rPr>
          <w:rFonts w:ascii="Arial" w:hAnsi="Arial" w:cs="Arial"/>
          <w:lang w:val="en-GB"/>
        </w:rPr>
        <w:t>as there is a risk of them being politically biased</w:t>
      </w:r>
      <w:r w:rsidR="00A6197D">
        <w:rPr>
          <w:rFonts w:ascii="Arial" w:hAnsi="Arial" w:cs="Arial"/>
          <w:lang w:val="en-GB"/>
        </w:rPr>
        <w:t xml:space="preserve"> and not having an objective</w:t>
      </w:r>
      <w:r w:rsidR="006C6618">
        <w:rPr>
          <w:rFonts w:ascii="Arial" w:hAnsi="Arial" w:cs="Arial"/>
          <w:lang w:val="en-GB"/>
        </w:rPr>
        <w:t xml:space="preserve"> basis.</w:t>
      </w:r>
    </w:p>
    <w:p w14:paraId="72A50291" w14:textId="77777777" w:rsidR="00422F0A" w:rsidRDefault="00422F0A" w:rsidP="0032632E">
      <w:pPr>
        <w:pStyle w:val="BodyText"/>
        <w:spacing w:before="1" w:line="242" w:lineRule="auto"/>
        <w:ind w:left="375" w:right="960"/>
        <w:jc w:val="both"/>
        <w:rPr>
          <w:rFonts w:ascii="Arial" w:hAnsi="Arial" w:cs="Arial"/>
          <w:lang w:val="en-GB"/>
        </w:rPr>
      </w:pPr>
    </w:p>
    <w:p w14:paraId="693F3CD9" w14:textId="77777777" w:rsidR="00422F0A" w:rsidRDefault="00422F0A" w:rsidP="0032632E">
      <w:pPr>
        <w:pStyle w:val="BodyText"/>
        <w:spacing w:before="1" w:line="242" w:lineRule="auto"/>
        <w:ind w:left="375" w:right="960"/>
        <w:jc w:val="both"/>
        <w:rPr>
          <w:rFonts w:ascii="Arial" w:hAnsi="Arial" w:cs="Arial"/>
          <w:lang w:val="en-GB"/>
        </w:rPr>
      </w:pPr>
      <w:r>
        <w:rPr>
          <w:rFonts w:ascii="Arial" w:hAnsi="Arial" w:cs="Arial"/>
          <w:lang w:val="en-GB"/>
        </w:rPr>
        <w:t xml:space="preserve">In relation to investments in conflict zones, the Fund will consider: </w:t>
      </w:r>
    </w:p>
    <w:p w14:paraId="154B5C8E" w14:textId="77777777" w:rsidR="00422F0A" w:rsidRDefault="00422F0A" w:rsidP="0032632E">
      <w:pPr>
        <w:pStyle w:val="BodyText"/>
        <w:spacing w:before="1" w:line="242" w:lineRule="auto"/>
        <w:ind w:left="375" w:right="960"/>
        <w:jc w:val="both"/>
        <w:rPr>
          <w:rFonts w:ascii="Arial" w:hAnsi="Arial" w:cs="Arial"/>
          <w:lang w:val="en-GB"/>
        </w:rPr>
      </w:pPr>
    </w:p>
    <w:p w14:paraId="2BF66066" w14:textId="40E58D50" w:rsidR="00422F0A" w:rsidRDefault="00422F0A" w:rsidP="0032632E">
      <w:pPr>
        <w:pStyle w:val="BodyText"/>
        <w:numPr>
          <w:ilvl w:val="0"/>
          <w:numId w:val="4"/>
        </w:numPr>
        <w:spacing w:before="1" w:after="120" w:line="242" w:lineRule="auto"/>
        <w:ind w:left="1094" w:right="958" w:hanging="357"/>
        <w:jc w:val="both"/>
        <w:rPr>
          <w:rFonts w:ascii="Arial" w:hAnsi="Arial" w:cs="Arial"/>
          <w:lang w:val="en-GB"/>
        </w:rPr>
      </w:pPr>
      <w:r>
        <w:rPr>
          <w:rFonts w:ascii="Arial" w:hAnsi="Arial" w:cs="Arial"/>
          <w:lang w:val="en-GB"/>
        </w:rPr>
        <w:t xml:space="preserve">Sanctions/restrictions imposed by the UK Government </w:t>
      </w:r>
    </w:p>
    <w:p w14:paraId="384EED36" w14:textId="1E76146D" w:rsidR="00422F0A" w:rsidRDefault="00422F0A" w:rsidP="0032632E">
      <w:pPr>
        <w:pStyle w:val="BodyText"/>
        <w:numPr>
          <w:ilvl w:val="0"/>
          <w:numId w:val="4"/>
        </w:numPr>
        <w:spacing w:before="1" w:after="120" w:line="242" w:lineRule="auto"/>
        <w:ind w:left="1094" w:right="958" w:hanging="357"/>
        <w:jc w:val="both"/>
        <w:rPr>
          <w:rFonts w:ascii="Arial" w:hAnsi="Arial" w:cs="Arial"/>
          <w:lang w:val="en-GB"/>
        </w:rPr>
      </w:pPr>
      <w:r w:rsidRPr="00422F0A">
        <w:rPr>
          <w:rFonts w:ascii="Arial" w:hAnsi="Arial" w:cs="Arial"/>
          <w:lang w:val="en-GB"/>
        </w:rPr>
        <w:t xml:space="preserve">Sanctions/restrictions imposed by the United Nations Security Council </w:t>
      </w:r>
    </w:p>
    <w:p w14:paraId="0800E9F8" w14:textId="34725CD2" w:rsidR="00803041" w:rsidRDefault="00803041" w:rsidP="0032632E">
      <w:pPr>
        <w:pStyle w:val="BodyText"/>
        <w:numPr>
          <w:ilvl w:val="0"/>
          <w:numId w:val="4"/>
        </w:numPr>
        <w:spacing w:before="1" w:after="120" w:line="242" w:lineRule="auto"/>
        <w:ind w:left="1094" w:right="958" w:hanging="357"/>
        <w:jc w:val="both"/>
        <w:rPr>
          <w:rFonts w:ascii="Arial" w:hAnsi="Arial" w:cs="Arial"/>
          <w:lang w:val="en-GB"/>
        </w:rPr>
      </w:pPr>
      <w:r>
        <w:rPr>
          <w:rFonts w:ascii="Arial" w:hAnsi="Arial" w:cs="Arial"/>
          <w:lang w:val="en-GB"/>
        </w:rPr>
        <w:t>Relevant l</w:t>
      </w:r>
      <w:r w:rsidR="00422F0A" w:rsidRPr="00803041">
        <w:rPr>
          <w:rFonts w:ascii="Arial" w:hAnsi="Arial" w:cs="Arial"/>
          <w:lang w:val="en-GB"/>
        </w:rPr>
        <w:t xml:space="preserve">ists/guidance published by </w:t>
      </w:r>
      <w:r w:rsidRPr="00803041">
        <w:rPr>
          <w:rFonts w:ascii="Arial" w:hAnsi="Arial" w:cs="Arial"/>
          <w:lang w:val="en-GB"/>
        </w:rPr>
        <w:t xml:space="preserve">global bodies including the UN Office of the High Commissioner for Human Rights </w:t>
      </w:r>
    </w:p>
    <w:p w14:paraId="1EC4F0CC" w14:textId="46468655" w:rsidR="00803041" w:rsidRPr="00803041" w:rsidRDefault="00803041" w:rsidP="0032632E">
      <w:pPr>
        <w:pStyle w:val="BodyText"/>
        <w:numPr>
          <w:ilvl w:val="0"/>
          <w:numId w:val="4"/>
        </w:numPr>
        <w:spacing w:before="1" w:after="120" w:line="242" w:lineRule="auto"/>
        <w:ind w:left="1094" w:right="958" w:hanging="357"/>
        <w:jc w:val="both"/>
        <w:rPr>
          <w:rFonts w:ascii="Arial" w:hAnsi="Arial" w:cs="Arial"/>
          <w:lang w:val="en-GB"/>
        </w:rPr>
      </w:pPr>
      <w:r>
        <w:rPr>
          <w:rFonts w:ascii="Arial" w:hAnsi="Arial" w:cs="Arial"/>
          <w:lang w:val="en-GB"/>
        </w:rPr>
        <w:t xml:space="preserve">Ongoing cases (direct involvement) and successful convictions under the UN Genocide Convention </w:t>
      </w:r>
    </w:p>
    <w:p w14:paraId="1031B5CD" w14:textId="1E461B38" w:rsidR="00422F0A" w:rsidRPr="00422F0A" w:rsidRDefault="00803041" w:rsidP="0032632E">
      <w:pPr>
        <w:pStyle w:val="BodyText"/>
        <w:numPr>
          <w:ilvl w:val="0"/>
          <w:numId w:val="4"/>
        </w:numPr>
        <w:spacing w:before="1" w:after="120" w:line="242" w:lineRule="auto"/>
        <w:ind w:left="1094" w:right="958" w:hanging="357"/>
        <w:jc w:val="both"/>
        <w:rPr>
          <w:rFonts w:ascii="Arial" w:hAnsi="Arial" w:cs="Arial"/>
          <w:lang w:val="en-GB"/>
        </w:rPr>
      </w:pPr>
      <w:r>
        <w:rPr>
          <w:rFonts w:ascii="Arial" w:hAnsi="Arial" w:cs="Arial"/>
          <w:lang w:val="en-GB"/>
        </w:rPr>
        <w:t>Any other qualitative criteria applied by LCIV and the investment managers, e.g. ongoing violation of UN Global Compact.</w:t>
      </w:r>
    </w:p>
    <w:p w14:paraId="190FD273" w14:textId="77777777" w:rsidR="00803041" w:rsidRDefault="00BD5D08" w:rsidP="0032632E">
      <w:pPr>
        <w:pStyle w:val="BodyText"/>
        <w:spacing w:before="1" w:line="242" w:lineRule="auto"/>
        <w:ind w:left="375" w:right="960"/>
        <w:jc w:val="both"/>
        <w:rPr>
          <w:rFonts w:ascii="Arial" w:hAnsi="Arial" w:cs="Arial"/>
          <w:lang w:val="en-GB"/>
        </w:rPr>
      </w:pPr>
      <w:r w:rsidRPr="00841F3A">
        <w:rPr>
          <w:rFonts w:ascii="Arial" w:hAnsi="Arial" w:cs="Arial"/>
          <w:lang w:val="en-GB"/>
        </w:rPr>
        <w:t xml:space="preserve">The Fund is committed to </w:t>
      </w:r>
      <w:r w:rsidR="00803041">
        <w:rPr>
          <w:rFonts w:ascii="Arial" w:hAnsi="Arial" w:cs="Arial"/>
          <w:lang w:val="en-GB"/>
        </w:rPr>
        <w:t xml:space="preserve">ensuring a strong focus on human rights in instances of conflicts. For identified investments, the Fund will consider enhanced engagement and escalation through LCIV (and relevant investment managers) to enforce adherence to international humanitarian law and human rights. </w:t>
      </w:r>
    </w:p>
    <w:p w14:paraId="2B3D916C" w14:textId="77777777" w:rsidR="00803041" w:rsidRDefault="00803041" w:rsidP="0032632E">
      <w:pPr>
        <w:pStyle w:val="BodyText"/>
        <w:spacing w:before="1" w:line="242" w:lineRule="auto"/>
        <w:ind w:left="375" w:right="960"/>
        <w:jc w:val="both"/>
        <w:rPr>
          <w:rFonts w:ascii="Arial" w:hAnsi="Arial" w:cs="Arial"/>
          <w:lang w:val="en-GB"/>
        </w:rPr>
      </w:pPr>
    </w:p>
    <w:p w14:paraId="7A273A6F" w14:textId="77777777" w:rsidR="00803041" w:rsidRDefault="00803041" w:rsidP="0032632E">
      <w:pPr>
        <w:pStyle w:val="BodyText"/>
        <w:spacing w:before="1" w:after="240" w:line="242" w:lineRule="auto"/>
        <w:ind w:left="375" w:right="960"/>
        <w:jc w:val="both"/>
        <w:rPr>
          <w:rFonts w:ascii="Arial" w:hAnsi="Arial" w:cs="Arial"/>
          <w:lang w:val="en-GB"/>
        </w:rPr>
      </w:pPr>
      <w:r>
        <w:rPr>
          <w:rFonts w:ascii="Arial" w:hAnsi="Arial" w:cs="Arial"/>
          <w:lang w:val="en-GB"/>
        </w:rPr>
        <w:t>The Fund will consider divestment/exclusions of:</w:t>
      </w:r>
    </w:p>
    <w:p w14:paraId="67907FBE" w14:textId="524CBE84" w:rsidR="00803041" w:rsidRDefault="00803041" w:rsidP="0032632E">
      <w:pPr>
        <w:pStyle w:val="BodyText"/>
        <w:numPr>
          <w:ilvl w:val="0"/>
          <w:numId w:val="11"/>
        </w:numPr>
        <w:spacing w:before="1" w:after="240" w:line="242" w:lineRule="auto"/>
        <w:ind w:right="960"/>
        <w:jc w:val="both"/>
        <w:rPr>
          <w:rFonts w:ascii="Arial" w:hAnsi="Arial" w:cs="Arial"/>
          <w:lang w:val="en-GB"/>
        </w:rPr>
      </w:pPr>
      <w:r>
        <w:rPr>
          <w:rFonts w:ascii="Arial" w:hAnsi="Arial" w:cs="Arial"/>
          <w:lang w:val="en-GB"/>
        </w:rPr>
        <w:t>companies which are on the UN</w:t>
      </w:r>
      <w:r w:rsidR="00822F1F">
        <w:rPr>
          <w:rFonts w:ascii="Arial" w:hAnsi="Arial" w:cs="Arial"/>
          <w:lang w:val="en-GB"/>
        </w:rPr>
        <w:t xml:space="preserve"> Office of the High Commission</w:t>
      </w:r>
      <w:r w:rsidR="00782BEC">
        <w:rPr>
          <w:rFonts w:ascii="Arial" w:hAnsi="Arial" w:cs="Arial"/>
          <w:lang w:val="en-GB"/>
        </w:rPr>
        <w:t>er for Human Rights</w:t>
      </w:r>
      <w:r>
        <w:rPr>
          <w:rFonts w:ascii="Arial" w:hAnsi="Arial" w:cs="Arial"/>
          <w:lang w:val="en-GB"/>
        </w:rPr>
        <w:t xml:space="preserve"> List </w:t>
      </w:r>
      <w:r w:rsidR="000548DF">
        <w:rPr>
          <w:rFonts w:ascii="Arial" w:hAnsi="Arial" w:cs="Arial"/>
          <w:lang w:val="en-GB"/>
        </w:rPr>
        <w:t>(</w:t>
      </w:r>
      <w:r w:rsidR="004B5B3F">
        <w:rPr>
          <w:rFonts w:ascii="Arial" w:hAnsi="Arial" w:cs="Arial"/>
          <w:lang w:val="en-GB"/>
        </w:rPr>
        <w:t xml:space="preserve">UN OHCHR List) </w:t>
      </w:r>
      <w:r w:rsidR="000548DF">
        <w:rPr>
          <w:rFonts w:ascii="Arial" w:hAnsi="Arial" w:cs="Arial"/>
          <w:lang w:val="en-GB"/>
        </w:rPr>
        <w:t xml:space="preserve">in relation to </w:t>
      </w:r>
      <w:r w:rsidR="00A83F4A">
        <w:rPr>
          <w:rFonts w:ascii="Arial" w:hAnsi="Arial" w:cs="Arial"/>
          <w:lang w:val="en-GB"/>
        </w:rPr>
        <w:t xml:space="preserve">human rights violations </w:t>
      </w:r>
      <w:r w:rsidR="00782BEC">
        <w:rPr>
          <w:rFonts w:ascii="Arial" w:hAnsi="Arial" w:cs="Arial"/>
          <w:lang w:val="en-GB"/>
        </w:rPr>
        <w:t xml:space="preserve">in </w:t>
      </w:r>
      <w:r w:rsidR="000548DF">
        <w:rPr>
          <w:rFonts w:ascii="Arial" w:hAnsi="Arial" w:cs="Arial"/>
          <w:lang w:val="en-GB"/>
        </w:rPr>
        <w:t>any global conflicts</w:t>
      </w:r>
    </w:p>
    <w:p w14:paraId="28BD6E20" w14:textId="77777777" w:rsidR="000548DF" w:rsidRDefault="000548DF" w:rsidP="0032632E">
      <w:pPr>
        <w:pStyle w:val="BodyText"/>
        <w:numPr>
          <w:ilvl w:val="0"/>
          <w:numId w:val="11"/>
        </w:numPr>
        <w:spacing w:before="1" w:after="240" w:line="242" w:lineRule="auto"/>
        <w:ind w:right="960"/>
        <w:jc w:val="both"/>
        <w:rPr>
          <w:rFonts w:ascii="Arial" w:hAnsi="Arial" w:cs="Arial"/>
          <w:lang w:val="en-GB"/>
        </w:rPr>
      </w:pPr>
      <w:r w:rsidRPr="000548DF">
        <w:rPr>
          <w:rFonts w:ascii="Arial" w:hAnsi="Arial" w:cs="Arial"/>
          <w:lang w:val="en-GB"/>
        </w:rPr>
        <w:t>companies incorporated in jurisdictions that have been subject t</w:t>
      </w:r>
      <w:r>
        <w:rPr>
          <w:rFonts w:ascii="Arial" w:hAnsi="Arial" w:cs="Arial"/>
          <w:lang w:val="en-GB"/>
        </w:rPr>
        <w:t>o:</w:t>
      </w:r>
    </w:p>
    <w:p w14:paraId="515ECD4F" w14:textId="77777777" w:rsidR="000548DF" w:rsidRDefault="000548DF" w:rsidP="0032632E">
      <w:pPr>
        <w:pStyle w:val="BodyText"/>
        <w:numPr>
          <w:ilvl w:val="1"/>
          <w:numId w:val="11"/>
        </w:numPr>
        <w:spacing w:before="1" w:after="240" w:line="242" w:lineRule="auto"/>
        <w:ind w:right="960"/>
        <w:jc w:val="both"/>
        <w:rPr>
          <w:rFonts w:ascii="Arial" w:hAnsi="Arial" w:cs="Arial"/>
          <w:lang w:val="en-GB"/>
        </w:rPr>
      </w:pPr>
      <w:r w:rsidRPr="000548DF">
        <w:rPr>
          <w:rFonts w:ascii="Arial" w:hAnsi="Arial" w:cs="Arial"/>
          <w:lang w:val="en-GB"/>
        </w:rPr>
        <w:t>successful genocide convictions in the past</w:t>
      </w:r>
      <w:r>
        <w:rPr>
          <w:rFonts w:ascii="Arial" w:hAnsi="Arial" w:cs="Arial"/>
          <w:lang w:val="en-GB"/>
        </w:rPr>
        <w:t xml:space="preserve"> or </w:t>
      </w:r>
    </w:p>
    <w:p w14:paraId="019D65D0" w14:textId="2DF64FD7" w:rsidR="000548DF" w:rsidRPr="00A83F4A" w:rsidRDefault="000548DF" w:rsidP="0032632E">
      <w:pPr>
        <w:pStyle w:val="BodyText"/>
        <w:numPr>
          <w:ilvl w:val="1"/>
          <w:numId w:val="11"/>
        </w:numPr>
        <w:spacing w:before="1" w:after="240" w:line="242" w:lineRule="auto"/>
        <w:ind w:right="960"/>
        <w:jc w:val="both"/>
        <w:rPr>
          <w:rFonts w:ascii="Arial" w:hAnsi="Arial" w:cs="Arial"/>
          <w:lang w:val="en-GB"/>
        </w:rPr>
      </w:pPr>
      <w:r w:rsidRPr="00A32857">
        <w:rPr>
          <w:rFonts w:ascii="Arial" w:hAnsi="Arial" w:cs="Arial"/>
        </w:rPr>
        <w:t>subject to ongoing cases at the International Court of Justice (ICJ)/</w:t>
      </w:r>
      <w:r w:rsidR="00AD23F7">
        <w:rPr>
          <w:rFonts w:ascii="Arial" w:hAnsi="Arial" w:cs="Arial"/>
        </w:rPr>
        <w:t xml:space="preserve"> </w:t>
      </w:r>
      <w:r w:rsidRPr="00A32857">
        <w:rPr>
          <w:rFonts w:ascii="Arial" w:hAnsi="Arial" w:cs="Arial"/>
        </w:rPr>
        <w:t xml:space="preserve">International Criminal Court (ICC) as jurisdictions ‘directly’ involved in possible </w:t>
      </w:r>
      <w:r w:rsidR="007F53DA" w:rsidRPr="00A32857">
        <w:rPr>
          <w:rFonts w:ascii="Arial" w:hAnsi="Arial" w:cs="Arial"/>
        </w:rPr>
        <w:t>genocide</w:t>
      </w:r>
      <w:r w:rsidR="00D6171E" w:rsidRPr="00A32857">
        <w:rPr>
          <w:rFonts w:ascii="Arial" w:hAnsi="Arial" w:cs="Arial"/>
        </w:rPr>
        <w:t xml:space="preserve">. </w:t>
      </w:r>
    </w:p>
    <w:p w14:paraId="61FF103B" w14:textId="3DA7A9B1" w:rsidR="00814DA4" w:rsidRDefault="00A83F4A" w:rsidP="0032632E">
      <w:pPr>
        <w:pStyle w:val="BodyText"/>
        <w:spacing w:before="1" w:line="242" w:lineRule="auto"/>
        <w:ind w:left="375" w:right="960"/>
        <w:jc w:val="both"/>
        <w:rPr>
          <w:rFonts w:ascii="Arial" w:hAnsi="Arial" w:cs="Arial"/>
          <w:lang w:val="en-GB"/>
        </w:rPr>
      </w:pPr>
      <w:r>
        <w:rPr>
          <w:rFonts w:ascii="Arial" w:hAnsi="Arial" w:cs="Arial"/>
          <w:lang w:val="en-GB"/>
        </w:rPr>
        <w:t xml:space="preserve">The Fund </w:t>
      </w:r>
      <w:r w:rsidR="00814DA4">
        <w:rPr>
          <w:rFonts w:ascii="Arial" w:hAnsi="Arial" w:cs="Arial"/>
          <w:lang w:val="en-GB"/>
        </w:rPr>
        <w:t xml:space="preserve">believes </w:t>
      </w:r>
      <w:r w:rsidR="00814DA4" w:rsidRPr="00814DA4">
        <w:rPr>
          <w:rFonts w:ascii="Arial" w:hAnsi="Arial" w:cs="Arial"/>
          <w:lang w:val="en-GB"/>
        </w:rPr>
        <w:t xml:space="preserve">that historic genocide findings alone don't justify indefinite exclusion if the state has undergone profound political transition and there is no elevated atrocity risk. </w:t>
      </w:r>
    </w:p>
    <w:p w14:paraId="5D6B5A66" w14:textId="77777777" w:rsidR="00814DA4" w:rsidRDefault="00814DA4" w:rsidP="0032632E">
      <w:pPr>
        <w:pStyle w:val="BodyText"/>
        <w:spacing w:before="1" w:line="242" w:lineRule="auto"/>
        <w:ind w:left="375" w:right="960"/>
        <w:jc w:val="both"/>
        <w:rPr>
          <w:rFonts w:ascii="Arial" w:hAnsi="Arial" w:cs="Arial"/>
          <w:lang w:val="en-GB"/>
        </w:rPr>
      </w:pPr>
    </w:p>
    <w:p w14:paraId="78D3E0E8" w14:textId="6A9A853E" w:rsidR="00814DA4" w:rsidRDefault="00814DA4" w:rsidP="0032632E">
      <w:pPr>
        <w:pStyle w:val="BodyText"/>
        <w:spacing w:before="1" w:line="242" w:lineRule="auto"/>
        <w:ind w:left="375" w:right="960"/>
        <w:jc w:val="both"/>
        <w:rPr>
          <w:rFonts w:ascii="Arial" w:hAnsi="Arial" w:cs="Arial"/>
          <w:lang w:val="en-GB"/>
        </w:rPr>
      </w:pPr>
      <w:r>
        <w:rPr>
          <w:rFonts w:ascii="Arial" w:hAnsi="Arial" w:cs="Arial"/>
          <w:lang w:val="en-GB"/>
        </w:rPr>
        <w:t xml:space="preserve">The Fund will </w:t>
      </w:r>
      <w:r w:rsidRPr="00814DA4">
        <w:rPr>
          <w:rFonts w:ascii="Arial" w:hAnsi="Arial" w:cs="Arial"/>
          <w:lang w:val="en-GB"/>
        </w:rPr>
        <w:t xml:space="preserve">review in-scope jurisdictions under the UN Genocide criteria every </w:t>
      </w:r>
      <w:r w:rsidR="00FF520F">
        <w:rPr>
          <w:rFonts w:ascii="Arial" w:hAnsi="Arial" w:cs="Arial"/>
          <w:lang w:val="en-GB"/>
        </w:rPr>
        <w:t>five</w:t>
      </w:r>
      <w:r w:rsidRPr="00814DA4">
        <w:rPr>
          <w:rFonts w:ascii="Arial" w:hAnsi="Arial" w:cs="Arial"/>
          <w:lang w:val="en-GB"/>
        </w:rPr>
        <w:t xml:space="preserve"> years (or earlier if required) </w:t>
      </w:r>
      <w:r>
        <w:rPr>
          <w:rFonts w:ascii="Arial" w:hAnsi="Arial" w:cs="Arial"/>
          <w:lang w:val="en-GB"/>
        </w:rPr>
        <w:t>and consider a</w:t>
      </w:r>
      <w:r w:rsidRPr="00814DA4">
        <w:rPr>
          <w:rFonts w:ascii="Arial" w:hAnsi="Arial" w:cs="Arial"/>
          <w:lang w:val="en-GB"/>
        </w:rPr>
        <w:t>ny ‘re</w:t>
      </w:r>
      <w:r w:rsidR="0064792F">
        <w:rPr>
          <w:rFonts w:ascii="Arial" w:hAnsi="Arial" w:cs="Arial"/>
          <w:lang w:val="en-GB"/>
        </w:rPr>
        <w:t>-</w:t>
      </w:r>
      <w:r w:rsidRPr="00814DA4">
        <w:rPr>
          <w:rFonts w:ascii="Arial" w:hAnsi="Arial" w:cs="Arial"/>
          <w:lang w:val="en-GB"/>
        </w:rPr>
        <w:t xml:space="preserve">inclusion’ after a formal reassessment confirms that the new political environment aligns with the reinstatement conditions and broader </w:t>
      </w:r>
      <w:r w:rsidR="00372032">
        <w:rPr>
          <w:rFonts w:ascii="Arial" w:hAnsi="Arial" w:cs="Arial"/>
          <w:lang w:val="en-GB"/>
        </w:rPr>
        <w:t>r</w:t>
      </w:r>
      <w:r w:rsidRPr="00814DA4">
        <w:rPr>
          <w:rFonts w:ascii="Arial" w:hAnsi="Arial" w:cs="Arial"/>
          <w:lang w:val="en-GB"/>
        </w:rPr>
        <w:t xml:space="preserve">esponsible </w:t>
      </w:r>
      <w:r w:rsidR="00372032">
        <w:rPr>
          <w:rFonts w:ascii="Arial" w:hAnsi="Arial" w:cs="Arial"/>
          <w:lang w:val="en-GB"/>
        </w:rPr>
        <w:t>i</w:t>
      </w:r>
      <w:r w:rsidRPr="00814DA4">
        <w:rPr>
          <w:rFonts w:ascii="Arial" w:hAnsi="Arial" w:cs="Arial"/>
          <w:lang w:val="en-GB"/>
        </w:rPr>
        <w:t>nvestment parameters</w:t>
      </w:r>
      <w:r>
        <w:rPr>
          <w:rFonts w:ascii="Arial" w:hAnsi="Arial" w:cs="Arial"/>
          <w:lang w:val="en-GB"/>
        </w:rPr>
        <w:t xml:space="preserve">. </w:t>
      </w:r>
    </w:p>
    <w:p w14:paraId="46E31C23" w14:textId="77777777" w:rsidR="00814DA4" w:rsidRDefault="00814DA4" w:rsidP="0032632E">
      <w:pPr>
        <w:pStyle w:val="BodyText"/>
        <w:spacing w:before="1" w:line="242" w:lineRule="auto"/>
        <w:ind w:left="375" w:right="960"/>
        <w:jc w:val="both"/>
        <w:rPr>
          <w:rFonts w:ascii="Arial" w:hAnsi="Arial" w:cs="Arial"/>
          <w:lang w:val="en-GB"/>
        </w:rPr>
      </w:pPr>
    </w:p>
    <w:p w14:paraId="6AF93AB9" w14:textId="41D6FC32" w:rsidR="00BD5D08" w:rsidRDefault="00814DA4" w:rsidP="0032632E">
      <w:pPr>
        <w:pStyle w:val="BodyText"/>
        <w:spacing w:before="1" w:line="242" w:lineRule="auto"/>
        <w:ind w:left="375" w:right="960"/>
        <w:jc w:val="both"/>
        <w:rPr>
          <w:rFonts w:ascii="Arial" w:hAnsi="Arial" w:cs="Arial"/>
        </w:rPr>
      </w:pPr>
      <w:r>
        <w:rPr>
          <w:rFonts w:ascii="Arial" w:hAnsi="Arial" w:cs="Arial"/>
        </w:rPr>
        <w:t xml:space="preserve">The Fund will </w:t>
      </w:r>
      <w:r w:rsidRPr="00814DA4">
        <w:rPr>
          <w:rFonts w:ascii="Arial" w:hAnsi="Arial" w:cs="Arial"/>
        </w:rPr>
        <w:t xml:space="preserve">review in-scope companies in the UN </w:t>
      </w:r>
      <w:r w:rsidR="004B5B3F">
        <w:rPr>
          <w:rFonts w:ascii="Arial" w:hAnsi="Arial" w:cs="Arial"/>
        </w:rPr>
        <w:t xml:space="preserve">OHCHR </w:t>
      </w:r>
      <w:r w:rsidRPr="00814DA4">
        <w:rPr>
          <w:rFonts w:ascii="Arial" w:hAnsi="Arial" w:cs="Arial"/>
        </w:rPr>
        <w:t xml:space="preserve">List </w:t>
      </w:r>
      <w:r>
        <w:rPr>
          <w:rFonts w:ascii="Arial" w:hAnsi="Arial" w:cs="Arial"/>
        </w:rPr>
        <w:t xml:space="preserve">on an </w:t>
      </w:r>
      <w:r w:rsidRPr="00814DA4">
        <w:rPr>
          <w:rFonts w:ascii="Arial" w:hAnsi="Arial" w:cs="Arial"/>
        </w:rPr>
        <w:t>annual</w:t>
      </w:r>
      <w:r>
        <w:rPr>
          <w:rFonts w:ascii="Arial" w:hAnsi="Arial" w:cs="Arial"/>
        </w:rPr>
        <w:t xml:space="preserve"> basis. </w:t>
      </w:r>
    </w:p>
    <w:p w14:paraId="42FFAC82" w14:textId="77777777" w:rsidR="00C12BFE" w:rsidRDefault="00C12BFE" w:rsidP="0032632E">
      <w:pPr>
        <w:pStyle w:val="BodyText"/>
        <w:spacing w:before="1" w:line="242" w:lineRule="auto"/>
        <w:ind w:left="375" w:right="960"/>
        <w:jc w:val="both"/>
        <w:rPr>
          <w:rFonts w:ascii="Arial" w:hAnsi="Arial" w:cs="Arial"/>
        </w:rPr>
      </w:pPr>
    </w:p>
    <w:p w14:paraId="728B28D5" w14:textId="77777777" w:rsidR="00C12BFE" w:rsidRPr="00841F3A" w:rsidRDefault="00C12BFE" w:rsidP="0032632E">
      <w:pPr>
        <w:pStyle w:val="BodyText"/>
        <w:spacing w:before="1" w:line="242" w:lineRule="auto"/>
        <w:ind w:left="375" w:right="960"/>
        <w:jc w:val="both"/>
        <w:rPr>
          <w:rFonts w:ascii="Arial" w:hAnsi="Arial" w:cs="Arial"/>
          <w:lang w:val="en-GB"/>
        </w:rPr>
      </w:pPr>
    </w:p>
    <w:p w14:paraId="4CC379FB" w14:textId="77777777" w:rsidR="00BD5D08" w:rsidRDefault="00BD5D08" w:rsidP="0032632E">
      <w:pPr>
        <w:pStyle w:val="BodyText"/>
        <w:spacing w:before="1" w:line="242" w:lineRule="auto"/>
        <w:ind w:left="375" w:right="960"/>
        <w:jc w:val="both"/>
        <w:rPr>
          <w:rFonts w:ascii="Arial" w:hAnsi="Arial" w:cs="Arial"/>
          <w:lang w:val="en-GB"/>
        </w:rPr>
      </w:pPr>
    </w:p>
    <w:p w14:paraId="0DC791B1" w14:textId="6F7BC6A1" w:rsidR="008C1B25" w:rsidRDefault="008C1B25" w:rsidP="0032632E">
      <w:pPr>
        <w:pStyle w:val="BodyText"/>
        <w:numPr>
          <w:ilvl w:val="2"/>
          <w:numId w:val="8"/>
        </w:numPr>
        <w:tabs>
          <w:tab w:val="left" w:pos="426"/>
          <w:tab w:val="left" w:pos="993"/>
        </w:tabs>
        <w:spacing w:before="1" w:line="242" w:lineRule="auto"/>
        <w:ind w:left="709" w:right="960" w:hanging="283"/>
        <w:jc w:val="both"/>
        <w:rPr>
          <w:rFonts w:ascii="Arial" w:hAnsi="Arial" w:cs="Arial"/>
          <w:b/>
          <w:lang w:val="en-GB"/>
        </w:rPr>
      </w:pPr>
      <w:r>
        <w:rPr>
          <w:rFonts w:ascii="Arial" w:hAnsi="Arial" w:cs="Arial"/>
          <w:b/>
          <w:lang w:val="en-GB"/>
        </w:rPr>
        <w:t xml:space="preserve">Human Rights and Human Capital </w:t>
      </w:r>
    </w:p>
    <w:p w14:paraId="0506288C" w14:textId="77777777" w:rsidR="00171D2E" w:rsidRDefault="00171D2E" w:rsidP="0032632E">
      <w:pPr>
        <w:pStyle w:val="BodyText"/>
        <w:spacing w:before="1" w:line="242" w:lineRule="auto"/>
        <w:ind w:left="375" w:right="960"/>
        <w:jc w:val="both"/>
        <w:rPr>
          <w:rFonts w:ascii="Arial" w:hAnsi="Arial" w:cs="Arial"/>
          <w:b/>
          <w:lang w:val="en-GB"/>
        </w:rPr>
      </w:pPr>
    </w:p>
    <w:p w14:paraId="5839AD57" w14:textId="3B4BF1E4" w:rsidR="008F6C0D" w:rsidRPr="00A32857" w:rsidRDefault="008F6C0D" w:rsidP="0032632E">
      <w:pPr>
        <w:pStyle w:val="BodyText"/>
        <w:spacing w:before="1" w:line="242" w:lineRule="auto"/>
        <w:ind w:left="375" w:right="960"/>
        <w:jc w:val="both"/>
        <w:rPr>
          <w:rFonts w:ascii="Arial" w:hAnsi="Arial" w:cs="Arial"/>
          <w:bCs/>
          <w:lang w:val="en-GB"/>
        </w:rPr>
      </w:pPr>
      <w:r w:rsidRPr="00A32857">
        <w:rPr>
          <w:rFonts w:ascii="Arial" w:hAnsi="Arial" w:cs="Arial"/>
          <w:bCs/>
          <w:lang w:val="en-GB"/>
        </w:rPr>
        <w:t>The Fund is committed to respecting human rights in line with international standards, including those set by the United Nations</w:t>
      </w:r>
      <w:r w:rsidR="00B10E13">
        <w:rPr>
          <w:rFonts w:ascii="Arial" w:hAnsi="Arial" w:cs="Arial"/>
          <w:bCs/>
          <w:lang w:val="en-GB"/>
        </w:rPr>
        <w:t xml:space="preserve"> and OECD Guidelines</w:t>
      </w:r>
      <w:r w:rsidRPr="00A32857">
        <w:rPr>
          <w:rFonts w:ascii="Arial" w:hAnsi="Arial" w:cs="Arial"/>
          <w:bCs/>
          <w:lang w:val="en-GB"/>
        </w:rPr>
        <w:t xml:space="preserve">. </w:t>
      </w:r>
      <w:r w:rsidR="00916436">
        <w:rPr>
          <w:rFonts w:ascii="Arial" w:hAnsi="Arial" w:cs="Arial"/>
          <w:bCs/>
          <w:lang w:val="en-GB"/>
        </w:rPr>
        <w:t>The Fund</w:t>
      </w:r>
      <w:r w:rsidRPr="00A32857">
        <w:rPr>
          <w:rFonts w:ascii="Arial" w:hAnsi="Arial" w:cs="Arial"/>
          <w:bCs/>
          <w:lang w:val="en-GB"/>
        </w:rPr>
        <w:t xml:space="preserve"> recognise</w:t>
      </w:r>
      <w:r w:rsidR="00916436">
        <w:rPr>
          <w:rFonts w:ascii="Arial" w:hAnsi="Arial" w:cs="Arial"/>
          <w:bCs/>
          <w:lang w:val="en-GB"/>
        </w:rPr>
        <w:t>s</w:t>
      </w:r>
      <w:r w:rsidRPr="00A32857">
        <w:rPr>
          <w:rFonts w:ascii="Arial" w:hAnsi="Arial" w:cs="Arial"/>
          <w:bCs/>
          <w:lang w:val="en-GB"/>
        </w:rPr>
        <w:t xml:space="preserve"> </w:t>
      </w:r>
      <w:r w:rsidR="00916436">
        <w:rPr>
          <w:rFonts w:ascii="Arial" w:hAnsi="Arial" w:cs="Arial"/>
          <w:bCs/>
          <w:lang w:val="en-GB"/>
        </w:rPr>
        <w:t>its</w:t>
      </w:r>
      <w:r w:rsidRPr="00A32857">
        <w:rPr>
          <w:rFonts w:ascii="Arial" w:hAnsi="Arial" w:cs="Arial"/>
          <w:bCs/>
          <w:lang w:val="en-GB"/>
        </w:rPr>
        <w:t xml:space="preserve"> responsibility to influence positive real-world outcomes through investment decisions and to prevent or mitigate adverse impacts on people. </w:t>
      </w:r>
      <w:r w:rsidR="003958A9">
        <w:rPr>
          <w:rFonts w:ascii="Arial" w:hAnsi="Arial" w:cs="Arial"/>
          <w:bCs/>
          <w:lang w:val="en-GB"/>
        </w:rPr>
        <w:t xml:space="preserve">As part of the focus on human rights, </w:t>
      </w:r>
      <w:r w:rsidR="00F11D8E">
        <w:rPr>
          <w:rFonts w:ascii="Arial" w:hAnsi="Arial" w:cs="Arial"/>
          <w:bCs/>
          <w:lang w:val="en-GB"/>
        </w:rPr>
        <w:t xml:space="preserve">where material in the context of its portfolio, </w:t>
      </w:r>
      <w:r w:rsidR="003958A9">
        <w:rPr>
          <w:rFonts w:ascii="Arial" w:hAnsi="Arial" w:cs="Arial"/>
          <w:bCs/>
          <w:lang w:val="en-GB"/>
        </w:rPr>
        <w:t>the Fund will consider</w:t>
      </w:r>
      <w:r w:rsidRPr="00A32857">
        <w:rPr>
          <w:rFonts w:ascii="Arial" w:hAnsi="Arial" w:cs="Arial"/>
          <w:bCs/>
          <w:lang w:val="en-GB"/>
        </w:rPr>
        <w:t xml:space="preserve"> </w:t>
      </w:r>
      <w:r w:rsidR="00F11D8E">
        <w:rPr>
          <w:rFonts w:ascii="Arial" w:hAnsi="Arial" w:cs="Arial"/>
          <w:bCs/>
          <w:lang w:val="en-GB"/>
        </w:rPr>
        <w:t>various</w:t>
      </w:r>
      <w:r w:rsidR="00F11D8E" w:rsidRPr="00A32857">
        <w:rPr>
          <w:rFonts w:ascii="Arial" w:hAnsi="Arial" w:cs="Arial"/>
          <w:bCs/>
          <w:lang w:val="en-GB"/>
        </w:rPr>
        <w:t xml:space="preserve"> </w:t>
      </w:r>
      <w:r w:rsidRPr="00A32857">
        <w:rPr>
          <w:rFonts w:ascii="Arial" w:hAnsi="Arial" w:cs="Arial"/>
          <w:bCs/>
          <w:lang w:val="en-GB"/>
        </w:rPr>
        <w:t xml:space="preserve">people-related themes and </w:t>
      </w:r>
      <w:r w:rsidR="00E164C1">
        <w:rPr>
          <w:rFonts w:ascii="Arial" w:hAnsi="Arial" w:cs="Arial"/>
          <w:bCs/>
          <w:lang w:val="en-GB"/>
        </w:rPr>
        <w:t>engage in</w:t>
      </w:r>
      <w:r w:rsidRPr="00A32857">
        <w:rPr>
          <w:rFonts w:ascii="Arial" w:hAnsi="Arial" w:cs="Arial"/>
          <w:bCs/>
          <w:lang w:val="en-GB"/>
        </w:rPr>
        <w:t xml:space="preserve"> effective risk management </w:t>
      </w:r>
      <w:r w:rsidR="00E164C1">
        <w:rPr>
          <w:rFonts w:ascii="Arial" w:hAnsi="Arial" w:cs="Arial"/>
          <w:bCs/>
          <w:lang w:val="en-GB"/>
        </w:rPr>
        <w:t>through its investment managers</w:t>
      </w:r>
      <w:r w:rsidR="00F11D8E">
        <w:rPr>
          <w:rFonts w:ascii="Arial" w:hAnsi="Arial" w:cs="Arial"/>
          <w:bCs/>
          <w:lang w:val="en-GB"/>
        </w:rPr>
        <w:t xml:space="preserve"> and LCIV</w:t>
      </w:r>
      <w:r w:rsidR="00E164C1">
        <w:rPr>
          <w:rFonts w:ascii="Arial" w:hAnsi="Arial" w:cs="Arial"/>
          <w:bCs/>
          <w:lang w:val="en-GB"/>
        </w:rPr>
        <w:t xml:space="preserve"> </w:t>
      </w:r>
      <w:r w:rsidRPr="00A32857">
        <w:rPr>
          <w:rFonts w:ascii="Arial" w:hAnsi="Arial" w:cs="Arial"/>
          <w:bCs/>
          <w:lang w:val="en-GB"/>
        </w:rPr>
        <w:t>while meeting the expectations of beneficiaries, partner funds, and regulators.</w:t>
      </w:r>
    </w:p>
    <w:p w14:paraId="5EA22DE9" w14:textId="77777777" w:rsidR="008F6C0D" w:rsidRDefault="008F6C0D" w:rsidP="0032632E">
      <w:pPr>
        <w:pStyle w:val="BodyText"/>
        <w:spacing w:before="1" w:line="242" w:lineRule="auto"/>
        <w:ind w:left="375" w:right="960"/>
        <w:jc w:val="both"/>
        <w:rPr>
          <w:rFonts w:ascii="Arial" w:hAnsi="Arial" w:cs="Arial"/>
          <w:bCs/>
          <w:lang w:val="en-GB"/>
        </w:rPr>
      </w:pPr>
    </w:p>
    <w:p w14:paraId="3B8C0CCE" w14:textId="73C3B858" w:rsidR="008F6C0D" w:rsidRDefault="00E164C1" w:rsidP="0032632E">
      <w:pPr>
        <w:pStyle w:val="BodyText"/>
        <w:spacing w:before="1" w:line="242" w:lineRule="auto"/>
        <w:ind w:left="375" w:right="960"/>
        <w:jc w:val="both"/>
        <w:rPr>
          <w:rFonts w:ascii="Arial" w:hAnsi="Arial" w:cs="Arial"/>
          <w:bCs/>
          <w:lang w:val="en-GB"/>
        </w:rPr>
      </w:pPr>
      <w:r>
        <w:rPr>
          <w:rFonts w:ascii="Arial" w:hAnsi="Arial" w:cs="Arial"/>
          <w:bCs/>
          <w:lang w:val="en-GB"/>
        </w:rPr>
        <w:t>Alongside human rights, the Fund considers h</w:t>
      </w:r>
      <w:r w:rsidR="008F6C0D" w:rsidRPr="00A32857">
        <w:rPr>
          <w:rFonts w:ascii="Arial" w:hAnsi="Arial" w:cs="Arial"/>
          <w:bCs/>
          <w:lang w:val="en-GB"/>
        </w:rPr>
        <w:t>uman capital</w:t>
      </w:r>
      <w:r>
        <w:rPr>
          <w:rFonts w:ascii="Arial" w:hAnsi="Arial" w:cs="Arial"/>
          <w:bCs/>
          <w:lang w:val="en-GB"/>
        </w:rPr>
        <w:t xml:space="preserve"> an important component of</w:t>
      </w:r>
      <w:r w:rsidR="008F6C0D" w:rsidRPr="00A32857">
        <w:rPr>
          <w:rFonts w:ascii="Arial" w:hAnsi="Arial" w:cs="Arial"/>
          <w:bCs/>
          <w:lang w:val="en-GB"/>
        </w:rPr>
        <w:t xml:space="preserve"> long-term value creation. The Fund </w:t>
      </w:r>
      <w:r w:rsidR="00AC0368">
        <w:rPr>
          <w:rFonts w:ascii="Arial" w:hAnsi="Arial" w:cs="Arial"/>
          <w:bCs/>
          <w:lang w:val="en-GB"/>
        </w:rPr>
        <w:t xml:space="preserve">will </w:t>
      </w:r>
      <w:r w:rsidR="00F11D8E" w:rsidRPr="00A32857">
        <w:rPr>
          <w:rFonts w:ascii="Arial" w:hAnsi="Arial" w:cs="Arial"/>
          <w:bCs/>
          <w:lang w:val="en-GB"/>
        </w:rPr>
        <w:t>en</w:t>
      </w:r>
      <w:r w:rsidR="00F11D8E">
        <w:rPr>
          <w:rFonts w:ascii="Arial" w:hAnsi="Arial" w:cs="Arial"/>
          <w:bCs/>
          <w:lang w:val="en-GB"/>
        </w:rPr>
        <w:t>courage its</w:t>
      </w:r>
      <w:r w:rsidR="00F11D8E" w:rsidRPr="00A32857">
        <w:rPr>
          <w:rFonts w:ascii="Arial" w:hAnsi="Arial" w:cs="Arial"/>
          <w:bCs/>
          <w:lang w:val="en-GB"/>
        </w:rPr>
        <w:t xml:space="preserve"> </w:t>
      </w:r>
      <w:r w:rsidR="008F6C0D" w:rsidRPr="00A32857">
        <w:rPr>
          <w:rFonts w:ascii="Arial" w:hAnsi="Arial" w:cs="Arial"/>
          <w:bCs/>
          <w:lang w:val="en-GB"/>
        </w:rPr>
        <w:t>investment managers</w:t>
      </w:r>
      <w:r w:rsidR="00F11D8E">
        <w:rPr>
          <w:rFonts w:ascii="Arial" w:hAnsi="Arial" w:cs="Arial"/>
          <w:bCs/>
          <w:lang w:val="en-GB"/>
        </w:rPr>
        <w:t xml:space="preserve">, including LCIV, </w:t>
      </w:r>
      <w:r w:rsidR="008F6C0D" w:rsidRPr="00A32857">
        <w:rPr>
          <w:rFonts w:ascii="Arial" w:hAnsi="Arial" w:cs="Arial"/>
          <w:bCs/>
          <w:lang w:val="en-GB"/>
        </w:rPr>
        <w:t>to promote diversity and inclusion</w:t>
      </w:r>
      <w:r w:rsidR="00706D32">
        <w:rPr>
          <w:rFonts w:ascii="Arial" w:hAnsi="Arial" w:cs="Arial"/>
          <w:bCs/>
          <w:lang w:val="en-GB"/>
        </w:rPr>
        <w:t xml:space="preserve"> </w:t>
      </w:r>
      <w:r w:rsidR="00F11D8E">
        <w:rPr>
          <w:rFonts w:ascii="Arial" w:hAnsi="Arial" w:cs="Arial"/>
          <w:bCs/>
          <w:lang w:val="en-GB"/>
        </w:rPr>
        <w:t xml:space="preserve">across the assets in the portfolio. </w:t>
      </w:r>
      <w:r w:rsidR="00AC0368">
        <w:rPr>
          <w:rFonts w:ascii="Arial" w:hAnsi="Arial" w:cs="Arial"/>
          <w:bCs/>
          <w:lang w:val="en-GB"/>
        </w:rPr>
        <w:t>The Fund will</w:t>
      </w:r>
      <w:r w:rsidR="008F6C0D" w:rsidRPr="00A32857">
        <w:rPr>
          <w:rFonts w:ascii="Arial" w:hAnsi="Arial" w:cs="Arial"/>
          <w:bCs/>
          <w:lang w:val="en-GB"/>
        </w:rPr>
        <w:t xml:space="preserve"> encourage transparency in diversity reporting, inclusive hiring practices, and workplace cultures that empower all employees.</w:t>
      </w:r>
    </w:p>
    <w:p w14:paraId="7AA6240F" w14:textId="77777777" w:rsidR="00426388" w:rsidRDefault="00426388" w:rsidP="0032632E">
      <w:pPr>
        <w:pStyle w:val="BodyText"/>
        <w:spacing w:before="1" w:line="242" w:lineRule="auto"/>
        <w:ind w:left="375" w:right="960"/>
        <w:jc w:val="both"/>
        <w:rPr>
          <w:rFonts w:ascii="Arial" w:hAnsi="Arial" w:cs="Arial"/>
          <w:bCs/>
          <w:lang w:val="en-GB"/>
        </w:rPr>
      </w:pPr>
    </w:p>
    <w:p w14:paraId="7176E475" w14:textId="77777777" w:rsidR="00426388" w:rsidRPr="00426388" w:rsidRDefault="00426388" w:rsidP="0032632E">
      <w:pPr>
        <w:pStyle w:val="BodyText"/>
        <w:numPr>
          <w:ilvl w:val="2"/>
          <w:numId w:val="8"/>
        </w:numPr>
        <w:tabs>
          <w:tab w:val="left" w:pos="426"/>
          <w:tab w:val="left" w:pos="993"/>
        </w:tabs>
        <w:spacing w:before="1" w:after="240" w:line="242" w:lineRule="auto"/>
        <w:ind w:left="709" w:right="960" w:hanging="283"/>
        <w:jc w:val="both"/>
        <w:rPr>
          <w:rFonts w:ascii="Arial" w:hAnsi="Arial" w:cs="Arial"/>
          <w:b/>
          <w:bCs/>
          <w:lang w:val="en-GB"/>
        </w:rPr>
      </w:pPr>
      <w:r w:rsidRPr="00426388">
        <w:rPr>
          <w:rFonts w:ascii="Arial" w:hAnsi="Arial" w:cs="Arial"/>
          <w:b/>
          <w:bCs/>
          <w:lang w:val="en-GB"/>
        </w:rPr>
        <w:t>Strong Governance</w:t>
      </w:r>
    </w:p>
    <w:p w14:paraId="79274613" w14:textId="77777777" w:rsidR="00426388" w:rsidRPr="00426388" w:rsidRDefault="00426388" w:rsidP="0032632E">
      <w:pPr>
        <w:pStyle w:val="BodyText"/>
        <w:spacing w:before="1" w:after="240" w:line="242" w:lineRule="auto"/>
        <w:ind w:left="375" w:right="960"/>
        <w:jc w:val="both"/>
        <w:rPr>
          <w:rFonts w:ascii="Arial" w:hAnsi="Arial" w:cs="Arial"/>
          <w:bCs/>
          <w:lang w:val="en-GB"/>
        </w:rPr>
      </w:pPr>
      <w:r w:rsidRPr="00426388">
        <w:rPr>
          <w:rFonts w:ascii="Arial" w:hAnsi="Arial" w:cs="Arial"/>
          <w:bCs/>
          <w:lang w:val="en-GB"/>
        </w:rPr>
        <w:t>The Fund views robust governance as a cornerstone of responsible investment and long-term value creation. Effective governance ensures accountability, transparency, and ethical decision-making across investee companies and investment managers. We expect companies to maintain clear governance structures, independent and diverse boards, and rigorous oversight of risk management, including environmental and social risks. Strong governance practices reduce operational and reputational risks, safeguard shareholder rights, and support sustainable financial performance.</w:t>
      </w:r>
    </w:p>
    <w:p w14:paraId="72B8448E" w14:textId="14448A0E" w:rsidR="00426388" w:rsidRPr="00426388" w:rsidRDefault="00426388" w:rsidP="0032632E">
      <w:pPr>
        <w:pStyle w:val="BodyText"/>
        <w:spacing w:before="1" w:line="242" w:lineRule="auto"/>
        <w:ind w:left="375" w:right="960"/>
        <w:jc w:val="both"/>
        <w:rPr>
          <w:rFonts w:ascii="Arial" w:hAnsi="Arial" w:cs="Arial"/>
          <w:bCs/>
          <w:lang w:val="en-GB"/>
        </w:rPr>
      </w:pPr>
      <w:r w:rsidRPr="00426388">
        <w:rPr>
          <w:rFonts w:ascii="Arial" w:hAnsi="Arial" w:cs="Arial"/>
          <w:bCs/>
          <w:lang w:val="en-GB"/>
        </w:rPr>
        <w:t xml:space="preserve">Through our </w:t>
      </w:r>
      <w:r w:rsidR="00BA31E4">
        <w:rPr>
          <w:rFonts w:ascii="Arial" w:hAnsi="Arial" w:cs="Arial"/>
          <w:bCs/>
          <w:lang w:val="en-GB"/>
        </w:rPr>
        <w:t>investment managers and LCIV</w:t>
      </w:r>
      <w:r w:rsidR="000961F9">
        <w:rPr>
          <w:rFonts w:ascii="Arial" w:hAnsi="Arial" w:cs="Arial"/>
          <w:bCs/>
          <w:lang w:val="en-GB"/>
        </w:rPr>
        <w:t>,</w:t>
      </w:r>
      <w:r w:rsidR="00BA31E4">
        <w:rPr>
          <w:rFonts w:ascii="Arial" w:hAnsi="Arial" w:cs="Arial"/>
          <w:bCs/>
          <w:lang w:val="en-GB"/>
        </w:rPr>
        <w:t xml:space="preserve"> </w:t>
      </w:r>
      <w:r w:rsidRPr="00426388">
        <w:rPr>
          <w:rFonts w:ascii="Arial" w:hAnsi="Arial" w:cs="Arial"/>
          <w:bCs/>
          <w:lang w:val="en-GB"/>
        </w:rPr>
        <w:t xml:space="preserve">we </w:t>
      </w:r>
      <w:r w:rsidR="00CA0E86">
        <w:rPr>
          <w:rFonts w:ascii="Arial" w:hAnsi="Arial" w:cs="Arial"/>
          <w:bCs/>
          <w:lang w:val="en-GB"/>
        </w:rPr>
        <w:t xml:space="preserve">will </w:t>
      </w:r>
      <w:r w:rsidR="00BA31E4">
        <w:rPr>
          <w:rFonts w:ascii="Arial" w:hAnsi="Arial" w:cs="Arial"/>
          <w:bCs/>
          <w:lang w:val="en-GB"/>
        </w:rPr>
        <w:t xml:space="preserve">aim to </w:t>
      </w:r>
      <w:r w:rsidRPr="00426388">
        <w:rPr>
          <w:rFonts w:ascii="Arial" w:hAnsi="Arial" w:cs="Arial"/>
          <w:bCs/>
          <w:lang w:val="en-GB"/>
        </w:rPr>
        <w:t xml:space="preserve">engage with companies and managers to promote best practices in governance, including board diversity, executive accountability, and transparent reporting. Where governance standards fall short, we will escalate concerns </w:t>
      </w:r>
      <w:r w:rsidR="000961F9">
        <w:rPr>
          <w:rFonts w:ascii="Arial" w:hAnsi="Arial" w:cs="Arial"/>
          <w:bCs/>
          <w:lang w:val="en-GB"/>
        </w:rPr>
        <w:t xml:space="preserve">(via investment managers and LCIV) </w:t>
      </w:r>
      <w:r w:rsidRPr="00426388">
        <w:rPr>
          <w:rFonts w:ascii="Arial" w:hAnsi="Arial" w:cs="Arial"/>
          <w:bCs/>
          <w:lang w:val="en-GB"/>
        </w:rPr>
        <w:t>through dialogue, collaborative engagement, and voting strategies. Our commitment to governance aligns with our fiduciary duty to protect and enhance long-term returns for beneficiaries.</w:t>
      </w:r>
    </w:p>
    <w:p w14:paraId="7E82A54D" w14:textId="77777777" w:rsidR="00426388" w:rsidRPr="00A32857" w:rsidRDefault="00426388" w:rsidP="0032632E">
      <w:pPr>
        <w:pStyle w:val="BodyText"/>
        <w:spacing w:before="1" w:line="242" w:lineRule="auto"/>
        <w:ind w:left="375" w:right="960"/>
        <w:jc w:val="both"/>
        <w:rPr>
          <w:rFonts w:ascii="Arial" w:hAnsi="Arial" w:cs="Arial"/>
          <w:bCs/>
          <w:lang w:val="en-GB"/>
        </w:rPr>
      </w:pPr>
    </w:p>
    <w:p w14:paraId="5B9CD45E" w14:textId="19CAA278" w:rsidR="001C2DF0" w:rsidRPr="00841F3A" w:rsidRDefault="00845A4B" w:rsidP="0032632E">
      <w:pPr>
        <w:pStyle w:val="BodyText"/>
        <w:numPr>
          <w:ilvl w:val="1"/>
          <w:numId w:val="8"/>
        </w:numPr>
        <w:spacing w:before="1" w:line="242" w:lineRule="auto"/>
        <w:ind w:right="960"/>
        <w:jc w:val="both"/>
        <w:rPr>
          <w:rFonts w:ascii="Arial" w:hAnsi="Arial" w:cs="Arial"/>
          <w:b/>
          <w:lang w:val="en-GB"/>
        </w:rPr>
      </w:pPr>
      <w:r w:rsidRPr="00841F3A">
        <w:rPr>
          <w:rFonts w:ascii="Arial" w:hAnsi="Arial" w:cs="Arial"/>
          <w:b/>
          <w:lang w:val="en-GB"/>
        </w:rPr>
        <w:t xml:space="preserve">Other </w:t>
      </w:r>
      <w:r w:rsidR="00A241AF" w:rsidRPr="00841F3A">
        <w:rPr>
          <w:rFonts w:ascii="Arial" w:hAnsi="Arial" w:cs="Arial"/>
          <w:b/>
          <w:lang w:val="en-GB"/>
        </w:rPr>
        <w:t>ESG considerations</w:t>
      </w:r>
    </w:p>
    <w:p w14:paraId="2A8C05F9" w14:textId="77777777" w:rsidR="00A241AF" w:rsidRPr="00841F3A" w:rsidRDefault="00A241AF" w:rsidP="0032632E">
      <w:pPr>
        <w:pStyle w:val="BodyText"/>
        <w:spacing w:before="1" w:line="242" w:lineRule="auto"/>
        <w:ind w:left="375" w:right="960"/>
        <w:jc w:val="both"/>
        <w:rPr>
          <w:rFonts w:ascii="Arial" w:hAnsi="Arial" w:cs="Arial"/>
          <w:b/>
          <w:lang w:val="en-GB"/>
        </w:rPr>
      </w:pPr>
    </w:p>
    <w:p w14:paraId="58CDE38B" w14:textId="7488DD5B" w:rsidR="00544A07" w:rsidRPr="00841F3A" w:rsidRDefault="007F0BC1" w:rsidP="0032632E">
      <w:pPr>
        <w:pStyle w:val="BodyText"/>
        <w:spacing w:before="1" w:line="242" w:lineRule="auto"/>
        <w:ind w:left="375" w:right="960"/>
        <w:jc w:val="both"/>
        <w:rPr>
          <w:rFonts w:ascii="Arial" w:hAnsi="Arial" w:cs="Arial"/>
          <w:lang w:val="en-GB"/>
        </w:rPr>
      </w:pPr>
      <w:r>
        <w:rPr>
          <w:rFonts w:ascii="Arial" w:hAnsi="Arial" w:cs="Arial"/>
          <w:lang w:val="en-GB"/>
        </w:rPr>
        <w:t>In addition to the above</w:t>
      </w:r>
      <w:r w:rsidR="00C421E5">
        <w:rPr>
          <w:rFonts w:ascii="Arial" w:hAnsi="Arial" w:cs="Arial"/>
          <w:lang w:val="en-GB"/>
        </w:rPr>
        <w:t>,</w:t>
      </w:r>
      <w:r w:rsidR="00544A07" w:rsidRPr="00841F3A">
        <w:rPr>
          <w:rFonts w:ascii="Arial" w:hAnsi="Arial" w:cs="Arial"/>
          <w:lang w:val="en-GB"/>
        </w:rPr>
        <w:t xml:space="preserve"> </w:t>
      </w:r>
      <w:r w:rsidR="003A1760" w:rsidRPr="00841F3A">
        <w:rPr>
          <w:rFonts w:ascii="Arial" w:hAnsi="Arial" w:cs="Arial"/>
          <w:lang w:val="en-GB"/>
        </w:rPr>
        <w:t xml:space="preserve">the Fund </w:t>
      </w:r>
      <w:r w:rsidR="00544A07" w:rsidRPr="00841F3A">
        <w:rPr>
          <w:rFonts w:ascii="Arial" w:hAnsi="Arial" w:cs="Arial"/>
          <w:lang w:val="en-GB"/>
        </w:rPr>
        <w:t xml:space="preserve">will consider </w:t>
      </w:r>
      <w:r w:rsidR="00F85FEB">
        <w:rPr>
          <w:rFonts w:ascii="Arial" w:hAnsi="Arial" w:cs="Arial"/>
          <w:lang w:val="en-GB"/>
        </w:rPr>
        <w:t xml:space="preserve">various </w:t>
      </w:r>
      <w:r w:rsidR="00C421E5">
        <w:rPr>
          <w:rFonts w:ascii="Arial" w:hAnsi="Arial" w:cs="Arial"/>
          <w:lang w:val="en-GB"/>
        </w:rPr>
        <w:t xml:space="preserve">other </w:t>
      </w:r>
      <w:r w:rsidR="006B5901">
        <w:rPr>
          <w:rFonts w:ascii="Arial" w:hAnsi="Arial" w:cs="Arial"/>
          <w:lang w:val="en-GB"/>
        </w:rPr>
        <w:t xml:space="preserve">material </w:t>
      </w:r>
      <w:r w:rsidR="00C421E5">
        <w:rPr>
          <w:rFonts w:ascii="Arial" w:hAnsi="Arial" w:cs="Arial"/>
          <w:lang w:val="en-GB"/>
        </w:rPr>
        <w:t>ESG</w:t>
      </w:r>
      <w:r w:rsidR="006B5901">
        <w:rPr>
          <w:rFonts w:ascii="Arial" w:hAnsi="Arial" w:cs="Arial"/>
          <w:lang w:val="en-GB"/>
        </w:rPr>
        <w:t xml:space="preserve"> </w:t>
      </w:r>
      <w:r w:rsidR="00544A07" w:rsidRPr="00841F3A">
        <w:rPr>
          <w:rFonts w:ascii="Arial" w:hAnsi="Arial" w:cs="Arial"/>
          <w:lang w:val="en-GB"/>
        </w:rPr>
        <w:t>factors</w:t>
      </w:r>
      <w:r w:rsidR="006B5901">
        <w:rPr>
          <w:rFonts w:ascii="Arial" w:hAnsi="Arial" w:cs="Arial"/>
          <w:lang w:val="en-GB"/>
        </w:rPr>
        <w:t xml:space="preserve"> across all assets in the portfolio</w:t>
      </w:r>
      <w:r w:rsidR="00454A1B">
        <w:rPr>
          <w:rFonts w:ascii="Arial" w:hAnsi="Arial" w:cs="Arial"/>
          <w:lang w:val="en-GB"/>
        </w:rPr>
        <w:t>.</w:t>
      </w:r>
      <w:r w:rsidR="00544A07" w:rsidRPr="00841F3A">
        <w:rPr>
          <w:rFonts w:ascii="Arial" w:hAnsi="Arial" w:cs="Arial"/>
          <w:lang w:val="en-GB"/>
        </w:rPr>
        <w:t xml:space="preserve"> </w:t>
      </w:r>
    </w:p>
    <w:p w14:paraId="6D9F2D46" w14:textId="77777777" w:rsidR="00544A07" w:rsidRPr="00841F3A" w:rsidRDefault="00544A07" w:rsidP="0032632E">
      <w:pPr>
        <w:pStyle w:val="BodyText"/>
        <w:spacing w:before="1" w:line="242" w:lineRule="auto"/>
        <w:ind w:left="375" w:right="960"/>
        <w:jc w:val="both"/>
        <w:rPr>
          <w:rFonts w:ascii="Arial" w:hAnsi="Arial" w:cs="Arial"/>
          <w:lang w:val="en-GB"/>
        </w:rPr>
      </w:pPr>
    </w:p>
    <w:p w14:paraId="0E98D835" w14:textId="673B0B21" w:rsidR="00845A4B" w:rsidRPr="00841F3A" w:rsidRDefault="00845A4B" w:rsidP="0032632E">
      <w:pPr>
        <w:pStyle w:val="BodyText"/>
        <w:spacing w:before="1" w:line="242" w:lineRule="auto"/>
        <w:ind w:left="375" w:right="960"/>
        <w:jc w:val="both"/>
        <w:rPr>
          <w:rFonts w:ascii="Arial" w:hAnsi="Arial" w:cs="Arial"/>
          <w:lang w:val="en-GB"/>
        </w:rPr>
      </w:pPr>
      <w:r w:rsidRPr="00841F3A">
        <w:rPr>
          <w:rFonts w:ascii="Arial" w:hAnsi="Arial" w:cs="Arial"/>
          <w:i/>
          <w:lang w:val="en-GB"/>
        </w:rPr>
        <w:t>Environmental</w:t>
      </w:r>
      <w:r w:rsidRPr="00841F3A">
        <w:rPr>
          <w:rFonts w:ascii="Arial" w:hAnsi="Arial" w:cs="Arial"/>
          <w:lang w:val="en-GB"/>
        </w:rPr>
        <w:t xml:space="preserve"> – in addition to climate change and the Fund’s focus on reducing the carbon footprint of its portfolio, the Fund will</w:t>
      </w:r>
      <w:r w:rsidR="00454A1B">
        <w:rPr>
          <w:rFonts w:ascii="Arial" w:hAnsi="Arial" w:cs="Arial"/>
          <w:lang w:val="en-GB"/>
        </w:rPr>
        <w:t xml:space="preserve"> </w:t>
      </w:r>
      <w:r w:rsidRPr="00841F3A">
        <w:rPr>
          <w:rFonts w:ascii="Arial" w:hAnsi="Arial" w:cs="Arial"/>
          <w:lang w:val="en-GB"/>
        </w:rPr>
        <w:t xml:space="preserve">consider other environmental aspects </w:t>
      </w:r>
      <w:r w:rsidR="00C2796A" w:rsidRPr="00841F3A">
        <w:rPr>
          <w:rFonts w:ascii="Arial" w:hAnsi="Arial" w:cs="Arial"/>
          <w:lang w:val="en-GB"/>
        </w:rPr>
        <w:t xml:space="preserve">including, but not limited </w:t>
      </w:r>
      <w:r w:rsidR="00A32857" w:rsidRPr="00841F3A">
        <w:rPr>
          <w:rFonts w:ascii="Arial" w:hAnsi="Arial" w:cs="Arial"/>
          <w:lang w:val="en-GB"/>
        </w:rPr>
        <w:t>to</w:t>
      </w:r>
      <w:r w:rsidR="002776E4">
        <w:rPr>
          <w:rFonts w:ascii="Arial" w:hAnsi="Arial" w:cs="Arial"/>
          <w:lang w:val="en-GB"/>
        </w:rPr>
        <w:t>,</w:t>
      </w:r>
      <w:r w:rsidR="00C2796A" w:rsidRPr="00841F3A">
        <w:rPr>
          <w:rFonts w:ascii="Arial" w:hAnsi="Arial" w:cs="Arial"/>
          <w:lang w:val="en-GB"/>
        </w:rPr>
        <w:t xml:space="preserve"> </w:t>
      </w:r>
      <w:r w:rsidRPr="00841F3A">
        <w:rPr>
          <w:rFonts w:ascii="Arial" w:hAnsi="Arial" w:cs="Arial"/>
          <w:lang w:val="en-GB"/>
        </w:rPr>
        <w:t xml:space="preserve">resource </w:t>
      </w:r>
      <w:r w:rsidR="00814DA4">
        <w:rPr>
          <w:rFonts w:ascii="Arial" w:hAnsi="Arial" w:cs="Arial"/>
          <w:lang w:val="en-GB"/>
        </w:rPr>
        <w:t xml:space="preserve">scarcity, </w:t>
      </w:r>
      <w:r w:rsidRPr="00841F3A">
        <w:rPr>
          <w:rFonts w:ascii="Arial" w:hAnsi="Arial" w:cs="Arial"/>
          <w:lang w:val="en-GB"/>
        </w:rPr>
        <w:t xml:space="preserve">waste and water management practices, </w:t>
      </w:r>
      <w:r w:rsidR="00814DA4">
        <w:rPr>
          <w:rFonts w:ascii="Arial" w:hAnsi="Arial" w:cs="Arial"/>
          <w:lang w:val="en-GB"/>
        </w:rPr>
        <w:t xml:space="preserve">and </w:t>
      </w:r>
      <w:r w:rsidRPr="00841F3A">
        <w:rPr>
          <w:rFonts w:ascii="Arial" w:hAnsi="Arial" w:cs="Arial"/>
          <w:lang w:val="en-GB"/>
        </w:rPr>
        <w:t xml:space="preserve">biodiversity and </w:t>
      </w:r>
      <w:r w:rsidR="00814DA4">
        <w:rPr>
          <w:rFonts w:ascii="Arial" w:hAnsi="Arial" w:cs="Arial"/>
          <w:lang w:val="en-GB"/>
        </w:rPr>
        <w:t xml:space="preserve">natural capital. </w:t>
      </w:r>
      <w:r w:rsidRPr="00841F3A">
        <w:rPr>
          <w:rFonts w:ascii="Arial" w:hAnsi="Arial" w:cs="Arial"/>
          <w:lang w:val="en-GB"/>
        </w:rPr>
        <w:t xml:space="preserve">These wider environmental parameters </w:t>
      </w:r>
      <w:r w:rsidR="00F01356" w:rsidRPr="00841F3A">
        <w:rPr>
          <w:rFonts w:ascii="Arial" w:hAnsi="Arial" w:cs="Arial"/>
          <w:lang w:val="en-GB"/>
        </w:rPr>
        <w:t xml:space="preserve">also need to be managed whilst </w:t>
      </w:r>
      <w:r w:rsidR="00C2796A" w:rsidRPr="00841F3A">
        <w:rPr>
          <w:rFonts w:ascii="Arial" w:hAnsi="Arial" w:cs="Arial"/>
          <w:lang w:val="en-GB"/>
        </w:rPr>
        <w:t>taking advantage of</w:t>
      </w:r>
      <w:r w:rsidR="00F01356" w:rsidRPr="00841F3A">
        <w:rPr>
          <w:rFonts w:ascii="Arial" w:hAnsi="Arial" w:cs="Arial"/>
          <w:lang w:val="en-GB"/>
        </w:rPr>
        <w:t xml:space="preserve"> n</w:t>
      </w:r>
      <w:r w:rsidRPr="00841F3A">
        <w:rPr>
          <w:rFonts w:ascii="Arial" w:hAnsi="Arial" w:cs="Arial"/>
          <w:lang w:val="en-GB"/>
        </w:rPr>
        <w:t>ew opportunities as the world transitions to a low carbon economy.</w:t>
      </w:r>
    </w:p>
    <w:p w14:paraId="18AB33CF" w14:textId="77777777" w:rsidR="00845A4B" w:rsidRPr="00841F3A" w:rsidRDefault="00845A4B" w:rsidP="0032632E">
      <w:pPr>
        <w:pStyle w:val="BodyText"/>
        <w:spacing w:before="1" w:line="242" w:lineRule="auto"/>
        <w:ind w:left="375" w:right="960"/>
        <w:jc w:val="both"/>
        <w:rPr>
          <w:rFonts w:ascii="Arial" w:hAnsi="Arial" w:cs="Arial"/>
          <w:lang w:val="en-GB"/>
        </w:rPr>
      </w:pPr>
    </w:p>
    <w:p w14:paraId="7AEF5BC5" w14:textId="1FC049C3" w:rsidR="00845A4B" w:rsidRDefault="00845A4B" w:rsidP="0032632E">
      <w:pPr>
        <w:pStyle w:val="BodyText"/>
        <w:spacing w:before="1" w:after="240" w:line="242" w:lineRule="auto"/>
        <w:ind w:left="375" w:right="960"/>
        <w:jc w:val="both"/>
        <w:rPr>
          <w:rFonts w:ascii="Arial" w:hAnsi="Arial" w:cs="Arial"/>
          <w:lang w:val="en-GB"/>
        </w:rPr>
      </w:pPr>
      <w:r w:rsidRPr="00841F3A">
        <w:rPr>
          <w:rFonts w:ascii="Arial" w:hAnsi="Arial" w:cs="Arial"/>
          <w:i/>
          <w:lang w:val="en-GB"/>
        </w:rPr>
        <w:t>Social</w:t>
      </w:r>
      <w:r w:rsidRPr="00841F3A">
        <w:rPr>
          <w:rFonts w:ascii="Arial" w:hAnsi="Arial" w:cs="Arial"/>
          <w:lang w:val="en-GB"/>
        </w:rPr>
        <w:t xml:space="preserve"> – the way in which companies and enterprises manage their operations with respect t</w:t>
      </w:r>
      <w:r w:rsidR="00F01356" w:rsidRPr="00841F3A">
        <w:rPr>
          <w:rFonts w:ascii="Arial" w:hAnsi="Arial" w:cs="Arial"/>
          <w:lang w:val="en-GB"/>
        </w:rPr>
        <w:t xml:space="preserve">o employee diversity, labour market practices, </w:t>
      </w:r>
      <w:r w:rsidRPr="00841F3A">
        <w:rPr>
          <w:rFonts w:ascii="Arial" w:hAnsi="Arial" w:cs="Arial"/>
          <w:lang w:val="en-GB"/>
        </w:rPr>
        <w:t>health and safety, product liabili</w:t>
      </w:r>
      <w:r w:rsidR="00F01356" w:rsidRPr="00841F3A">
        <w:rPr>
          <w:rFonts w:ascii="Arial" w:hAnsi="Arial" w:cs="Arial"/>
          <w:lang w:val="en-GB"/>
        </w:rPr>
        <w:t xml:space="preserve">ty and supply chain management </w:t>
      </w:r>
      <w:r w:rsidRPr="00841F3A">
        <w:rPr>
          <w:rFonts w:ascii="Arial" w:hAnsi="Arial" w:cs="Arial"/>
          <w:lang w:val="en-GB"/>
        </w:rPr>
        <w:t>including modern slavery</w:t>
      </w:r>
      <w:r w:rsidR="00F01356" w:rsidRPr="00841F3A">
        <w:rPr>
          <w:rFonts w:ascii="Arial" w:hAnsi="Arial" w:cs="Arial"/>
          <w:lang w:val="en-GB"/>
        </w:rPr>
        <w:t xml:space="preserve"> and wider human rights, can be an </w:t>
      </w:r>
      <w:r w:rsidRPr="00841F3A">
        <w:rPr>
          <w:rFonts w:ascii="Arial" w:hAnsi="Arial" w:cs="Arial"/>
          <w:lang w:val="en-GB"/>
        </w:rPr>
        <w:t xml:space="preserve">investment risk. </w:t>
      </w:r>
    </w:p>
    <w:p w14:paraId="7CD03229" w14:textId="77777777" w:rsidR="00816A7B" w:rsidRDefault="00816A7B" w:rsidP="0032632E">
      <w:pPr>
        <w:pStyle w:val="BodyText"/>
        <w:spacing w:before="1" w:after="240" w:line="242" w:lineRule="auto"/>
        <w:ind w:left="375" w:right="960"/>
        <w:jc w:val="both"/>
        <w:rPr>
          <w:rFonts w:ascii="Arial" w:hAnsi="Arial" w:cs="Arial"/>
          <w:lang w:val="en-GB"/>
        </w:rPr>
      </w:pPr>
    </w:p>
    <w:p w14:paraId="4C59F304" w14:textId="77777777" w:rsidR="00816A7B" w:rsidRDefault="00816A7B" w:rsidP="0032632E">
      <w:pPr>
        <w:pStyle w:val="BodyText"/>
        <w:spacing w:before="1" w:after="240" w:line="242" w:lineRule="auto"/>
        <w:ind w:left="375" w:right="960"/>
        <w:jc w:val="both"/>
        <w:rPr>
          <w:rFonts w:ascii="Arial" w:hAnsi="Arial" w:cs="Arial"/>
          <w:lang w:val="en-GB"/>
        </w:rPr>
      </w:pPr>
    </w:p>
    <w:p w14:paraId="17417357" w14:textId="77777777" w:rsidR="00816A7B" w:rsidRPr="00841F3A" w:rsidRDefault="00816A7B" w:rsidP="0032632E">
      <w:pPr>
        <w:pStyle w:val="BodyText"/>
        <w:spacing w:before="1" w:after="240" w:line="242" w:lineRule="auto"/>
        <w:ind w:left="375" w:right="960"/>
        <w:jc w:val="both"/>
        <w:rPr>
          <w:rFonts w:ascii="Arial" w:hAnsi="Arial" w:cs="Arial"/>
          <w:lang w:val="en-GB"/>
        </w:rPr>
      </w:pPr>
    </w:p>
    <w:p w14:paraId="4BA09106" w14:textId="0B1BB308" w:rsidR="00845A4B" w:rsidRPr="00A32857" w:rsidRDefault="001D6E73" w:rsidP="0032632E">
      <w:pPr>
        <w:pStyle w:val="BodyText"/>
        <w:numPr>
          <w:ilvl w:val="0"/>
          <w:numId w:val="10"/>
        </w:numPr>
        <w:spacing w:before="1" w:after="240" w:line="242" w:lineRule="auto"/>
        <w:ind w:left="709" w:right="960" w:hanging="283"/>
        <w:jc w:val="both"/>
        <w:rPr>
          <w:rFonts w:ascii="Arial" w:hAnsi="Arial" w:cs="Arial"/>
          <w:b/>
          <w:w w:val="105"/>
          <w:lang w:val="en-GB"/>
        </w:rPr>
      </w:pPr>
      <w:r>
        <w:rPr>
          <w:rFonts w:ascii="Arial" w:hAnsi="Arial" w:cs="Arial"/>
          <w:b/>
          <w:w w:val="105"/>
          <w:lang w:val="en-GB"/>
        </w:rPr>
        <w:lastRenderedPageBreak/>
        <w:t xml:space="preserve">Our Approach to Responsible Investment </w:t>
      </w:r>
    </w:p>
    <w:p w14:paraId="2BD1F434" w14:textId="2F4C05AA" w:rsidR="00FF7308" w:rsidRDefault="008B4974" w:rsidP="0032632E">
      <w:pPr>
        <w:pStyle w:val="BodyText"/>
        <w:spacing w:before="1" w:line="242" w:lineRule="auto"/>
        <w:ind w:left="375" w:right="960"/>
        <w:jc w:val="both"/>
        <w:rPr>
          <w:rFonts w:ascii="Arial" w:hAnsi="Arial" w:cs="Arial"/>
          <w:bCs/>
          <w:w w:val="105"/>
          <w:lang w:val="en-GB"/>
        </w:rPr>
      </w:pPr>
      <w:r>
        <w:rPr>
          <w:rFonts w:ascii="Arial" w:hAnsi="Arial" w:cs="Arial"/>
          <w:bCs/>
          <w:w w:val="105"/>
          <w:lang w:val="en-GB"/>
        </w:rPr>
        <w:t>We</w:t>
      </w:r>
      <w:r w:rsidRPr="00A32857">
        <w:rPr>
          <w:rFonts w:ascii="Arial" w:hAnsi="Arial" w:cs="Arial"/>
          <w:bCs/>
          <w:w w:val="105"/>
          <w:lang w:val="en-GB"/>
        </w:rPr>
        <w:t xml:space="preserve"> take the following steps to ensure the investment strategy is aligned with our RI beliefs and </w:t>
      </w:r>
      <w:r w:rsidR="00B026F4">
        <w:rPr>
          <w:rFonts w:ascii="Arial" w:hAnsi="Arial" w:cs="Arial"/>
          <w:bCs/>
          <w:w w:val="105"/>
          <w:lang w:val="en-GB"/>
        </w:rPr>
        <w:t>priorities</w:t>
      </w:r>
      <w:r w:rsidRPr="00A32857">
        <w:rPr>
          <w:rFonts w:ascii="Arial" w:hAnsi="Arial" w:cs="Arial"/>
          <w:bCs/>
          <w:w w:val="105"/>
          <w:lang w:val="en-GB"/>
        </w:rPr>
        <w:t>.</w:t>
      </w:r>
    </w:p>
    <w:p w14:paraId="1980C3A7" w14:textId="77777777" w:rsidR="00B026F4" w:rsidRDefault="00B026F4" w:rsidP="0032632E">
      <w:pPr>
        <w:pStyle w:val="BodyText"/>
        <w:spacing w:before="1" w:line="242" w:lineRule="auto"/>
        <w:ind w:right="960"/>
        <w:jc w:val="both"/>
        <w:rPr>
          <w:rFonts w:ascii="Arial" w:hAnsi="Arial" w:cs="Arial"/>
          <w:bCs/>
          <w:w w:val="105"/>
          <w:lang w:val="en-GB"/>
        </w:rPr>
      </w:pPr>
    </w:p>
    <w:p w14:paraId="7ABD2FDF" w14:textId="77777777" w:rsidR="001D6E73" w:rsidRPr="001D6E73" w:rsidRDefault="001D6E73" w:rsidP="0032632E">
      <w:pPr>
        <w:pStyle w:val="ListParagraph"/>
        <w:numPr>
          <w:ilvl w:val="0"/>
          <w:numId w:val="8"/>
        </w:numPr>
        <w:spacing w:before="1" w:line="242" w:lineRule="auto"/>
        <w:ind w:right="960"/>
        <w:jc w:val="both"/>
        <w:rPr>
          <w:rFonts w:ascii="Arial" w:hAnsi="Arial" w:cs="Arial"/>
          <w:b/>
          <w:bCs/>
          <w:vanish/>
          <w:w w:val="105"/>
          <w:lang w:val="en-GB"/>
        </w:rPr>
      </w:pPr>
    </w:p>
    <w:p w14:paraId="30E41FCE" w14:textId="0EFC28FD" w:rsidR="00B026F4" w:rsidRPr="00B026F4" w:rsidRDefault="00B026F4" w:rsidP="0032632E">
      <w:pPr>
        <w:pStyle w:val="BodyText"/>
        <w:numPr>
          <w:ilvl w:val="1"/>
          <w:numId w:val="8"/>
        </w:numPr>
        <w:spacing w:before="1" w:after="240" w:line="242" w:lineRule="auto"/>
        <w:ind w:right="960"/>
        <w:jc w:val="both"/>
        <w:rPr>
          <w:rFonts w:ascii="Arial" w:hAnsi="Arial" w:cs="Arial"/>
          <w:bCs/>
          <w:w w:val="105"/>
          <w:lang w:val="en-GB"/>
        </w:rPr>
      </w:pPr>
      <w:r w:rsidRPr="00B026F4">
        <w:rPr>
          <w:rFonts w:ascii="Arial" w:hAnsi="Arial" w:cs="Arial"/>
          <w:b/>
          <w:bCs/>
          <w:w w:val="105"/>
          <w:lang w:val="en-GB"/>
        </w:rPr>
        <w:t xml:space="preserve">Integrating </w:t>
      </w:r>
      <w:r w:rsidR="00D33DCB">
        <w:rPr>
          <w:rFonts w:ascii="Arial" w:hAnsi="Arial" w:cs="Arial"/>
          <w:b/>
          <w:bCs/>
          <w:w w:val="105"/>
          <w:lang w:val="en-GB"/>
        </w:rPr>
        <w:t>RI priorities</w:t>
      </w:r>
      <w:r w:rsidRPr="00B026F4">
        <w:rPr>
          <w:rFonts w:ascii="Arial" w:hAnsi="Arial" w:cs="Arial"/>
          <w:b/>
          <w:bCs/>
          <w:w w:val="105"/>
          <w:lang w:val="en-GB"/>
        </w:rPr>
        <w:t xml:space="preserve"> into the investment decision-making process </w:t>
      </w:r>
    </w:p>
    <w:p w14:paraId="32864551" w14:textId="77777777" w:rsidR="00E425E7" w:rsidRPr="00E425E7" w:rsidRDefault="00E425E7" w:rsidP="0032632E">
      <w:pPr>
        <w:pStyle w:val="BodyText"/>
        <w:spacing w:before="1" w:after="240" w:line="242" w:lineRule="auto"/>
        <w:ind w:left="375" w:right="960"/>
        <w:jc w:val="both"/>
        <w:rPr>
          <w:rFonts w:ascii="Arial" w:hAnsi="Arial" w:cs="Arial"/>
          <w:bCs/>
          <w:w w:val="105"/>
          <w:lang w:val="en-GB"/>
        </w:rPr>
      </w:pPr>
      <w:r w:rsidRPr="00E425E7">
        <w:rPr>
          <w:rFonts w:ascii="Arial" w:hAnsi="Arial" w:cs="Arial"/>
          <w:bCs/>
          <w:w w:val="105"/>
          <w:lang w:val="en-GB"/>
        </w:rPr>
        <w:t>The Fund embeds Responsible Investment (RI) priorities across all stages of its investment process to ensure alignment with our long-term objectives and fiduciary duties. This integration begins at the strategic level, influencing asset allocation decisions and investment objectives, and extends through the selection, appointment, and ongoing monitoring of investment managers.</w:t>
      </w:r>
    </w:p>
    <w:p w14:paraId="1D73E519" w14:textId="2D7A7B71" w:rsidR="00376432" w:rsidRDefault="00E425E7" w:rsidP="0032632E">
      <w:pPr>
        <w:pStyle w:val="BodyText"/>
        <w:spacing w:before="1" w:after="240" w:line="242" w:lineRule="auto"/>
        <w:ind w:left="375" w:right="960"/>
        <w:jc w:val="both"/>
        <w:rPr>
          <w:rFonts w:ascii="Arial" w:hAnsi="Arial" w:cs="Arial"/>
          <w:bCs/>
          <w:w w:val="105"/>
          <w:lang w:val="en-GB"/>
        </w:rPr>
      </w:pPr>
      <w:r w:rsidRPr="00E425E7">
        <w:rPr>
          <w:rFonts w:ascii="Arial" w:hAnsi="Arial" w:cs="Arial"/>
          <w:bCs/>
          <w:w w:val="105"/>
          <w:lang w:val="en-GB"/>
        </w:rPr>
        <w:t xml:space="preserve">We also maintain continuous oversight of managers’ RI performance through regular reporting, engagement, and dialogue. Where gaps are identified, we will escalate concerns </w:t>
      </w:r>
      <w:r w:rsidR="00DE31EA">
        <w:rPr>
          <w:rFonts w:ascii="Arial" w:hAnsi="Arial" w:cs="Arial"/>
          <w:bCs/>
          <w:w w:val="105"/>
          <w:lang w:val="en-GB"/>
        </w:rPr>
        <w:t xml:space="preserve">via LCIV </w:t>
      </w:r>
      <w:r w:rsidRPr="00E425E7">
        <w:rPr>
          <w:rFonts w:ascii="Arial" w:hAnsi="Arial" w:cs="Arial"/>
          <w:bCs/>
          <w:w w:val="105"/>
          <w:lang w:val="en-GB"/>
        </w:rPr>
        <w:t xml:space="preserve">and seek improvements through stewardship activities and governance forums. </w:t>
      </w:r>
    </w:p>
    <w:p w14:paraId="6DB4B3CA" w14:textId="30B5B1B0" w:rsidR="00E425E7" w:rsidRDefault="00D430EB" w:rsidP="0032632E">
      <w:pPr>
        <w:pStyle w:val="BodyText"/>
        <w:spacing w:before="1" w:after="240" w:line="242" w:lineRule="auto"/>
        <w:ind w:left="375" w:right="960"/>
        <w:jc w:val="both"/>
        <w:rPr>
          <w:rFonts w:ascii="Arial" w:hAnsi="Arial" w:cs="Arial"/>
          <w:bCs/>
          <w:w w:val="105"/>
          <w:lang w:val="en-GB"/>
        </w:rPr>
      </w:pPr>
      <w:r w:rsidRPr="00D430EB">
        <w:rPr>
          <w:rFonts w:ascii="Arial" w:hAnsi="Arial" w:cs="Arial"/>
          <w:bCs/>
          <w:w w:val="105"/>
          <w:lang w:val="en-GB"/>
        </w:rPr>
        <w:t xml:space="preserve">To ensure RI priorities remain embedded in decision-making, the Fund undertakes structured and ongoing training for </w:t>
      </w:r>
      <w:r>
        <w:rPr>
          <w:rFonts w:ascii="Arial" w:hAnsi="Arial" w:cs="Arial"/>
          <w:bCs/>
          <w:w w:val="105"/>
          <w:lang w:val="en-GB"/>
        </w:rPr>
        <w:t>PAP and L</w:t>
      </w:r>
      <w:r w:rsidR="00EF0EFB">
        <w:rPr>
          <w:rFonts w:ascii="Arial" w:hAnsi="Arial" w:cs="Arial"/>
          <w:bCs/>
          <w:w w:val="105"/>
          <w:lang w:val="en-GB"/>
        </w:rPr>
        <w:t xml:space="preserve">ocal </w:t>
      </w:r>
      <w:r>
        <w:rPr>
          <w:rFonts w:ascii="Arial" w:hAnsi="Arial" w:cs="Arial"/>
          <w:bCs/>
          <w:w w:val="105"/>
          <w:lang w:val="en-GB"/>
        </w:rPr>
        <w:t>P</w:t>
      </w:r>
      <w:r w:rsidR="00EF0EFB">
        <w:rPr>
          <w:rFonts w:ascii="Arial" w:hAnsi="Arial" w:cs="Arial"/>
          <w:bCs/>
          <w:w w:val="105"/>
          <w:lang w:val="en-GB"/>
        </w:rPr>
        <w:t xml:space="preserve">ension Board (LPB) </w:t>
      </w:r>
      <w:r w:rsidRPr="00D430EB">
        <w:rPr>
          <w:rFonts w:ascii="Arial" w:hAnsi="Arial" w:cs="Arial"/>
          <w:bCs/>
          <w:w w:val="105"/>
          <w:lang w:val="en-GB"/>
        </w:rPr>
        <w:t>members and officers. This includes sessions on ESG issues, climate risk, regulatory developments, and emerging best practices, enabling informed decisions and effective oversight. Training is reviewed annually to address knowledge gaps and incorporate evolving market standard</w:t>
      </w:r>
      <w:r w:rsidR="003214B2">
        <w:rPr>
          <w:rFonts w:ascii="Arial" w:hAnsi="Arial" w:cs="Arial"/>
          <w:bCs/>
          <w:w w:val="105"/>
          <w:lang w:val="en-GB"/>
        </w:rPr>
        <w:t>s</w:t>
      </w:r>
      <w:r w:rsidR="00E425E7" w:rsidRPr="00E425E7">
        <w:rPr>
          <w:rFonts w:ascii="Arial" w:hAnsi="Arial" w:cs="Arial"/>
          <w:bCs/>
          <w:w w:val="105"/>
          <w:lang w:val="en-GB"/>
        </w:rPr>
        <w:t>.</w:t>
      </w:r>
    </w:p>
    <w:p w14:paraId="7AC55480" w14:textId="1B3605C8" w:rsidR="00D33DCB" w:rsidRPr="00B026F4" w:rsidRDefault="00832820" w:rsidP="0032632E">
      <w:pPr>
        <w:pStyle w:val="BodyText"/>
        <w:numPr>
          <w:ilvl w:val="1"/>
          <w:numId w:val="8"/>
        </w:numPr>
        <w:spacing w:before="1" w:after="240" w:line="242" w:lineRule="auto"/>
        <w:ind w:right="960"/>
        <w:jc w:val="both"/>
        <w:rPr>
          <w:rFonts w:ascii="Arial" w:hAnsi="Arial" w:cs="Arial"/>
          <w:bCs/>
          <w:w w:val="105"/>
          <w:lang w:val="en-GB"/>
        </w:rPr>
      </w:pPr>
      <w:r>
        <w:rPr>
          <w:rFonts w:ascii="Arial" w:hAnsi="Arial" w:cs="Arial"/>
          <w:b/>
          <w:bCs/>
          <w:w w:val="105"/>
          <w:lang w:val="en-GB"/>
        </w:rPr>
        <w:t xml:space="preserve">Monitoring and Assessment of RI priorities </w:t>
      </w:r>
    </w:p>
    <w:p w14:paraId="177AF2D3" w14:textId="4B1F8C71" w:rsidR="00D33DCB" w:rsidRDefault="00D33DCB" w:rsidP="0032632E">
      <w:pPr>
        <w:pStyle w:val="BodyText"/>
        <w:spacing w:before="1" w:line="242" w:lineRule="auto"/>
        <w:ind w:left="426" w:right="960"/>
        <w:jc w:val="both"/>
        <w:rPr>
          <w:rFonts w:ascii="Arial" w:hAnsi="Arial" w:cs="Arial"/>
          <w:bCs/>
          <w:w w:val="105"/>
          <w:lang w:val="en-GB"/>
        </w:rPr>
      </w:pPr>
      <w:r w:rsidRPr="00D33DCB">
        <w:rPr>
          <w:rFonts w:ascii="Arial" w:hAnsi="Arial" w:cs="Arial"/>
          <w:bCs/>
          <w:w w:val="105"/>
          <w:lang w:val="en-GB"/>
        </w:rPr>
        <w:t xml:space="preserve">The Fund </w:t>
      </w:r>
      <w:r w:rsidR="001D6E73">
        <w:rPr>
          <w:rFonts w:ascii="Arial" w:hAnsi="Arial" w:cs="Arial"/>
          <w:bCs/>
          <w:w w:val="105"/>
          <w:lang w:val="en-GB"/>
        </w:rPr>
        <w:t xml:space="preserve">considers </w:t>
      </w:r>
      <w:r w:rsidRPr="00D33DCB">
        <w:rPr>
          <w:rFonts w:ascii="Arial" w:hAnsi="Arial" w:cs="Arial"/>
          <w:bCs/>
          <w:w w:val="105"/>
          <w:lang w:val="en-GB"/>
        </w:rPr>
        <w:t xml:space="preserve">monitoring and assessment </w:t>
      </w:r>
      <w:r w:rsidR="001D6E73">
        <w:rPr>
          <w:rFonts w:ascii="Arial" w:hAnsi="Arial" w:cs="Arial"/>
          <w:bCs/>
          <w:w w:val="105"/>
          <w:lang w:val="en-GB"/>
        </w:rPr>
        <w:t xml:space="preserve">of the RI priorities and wider ESG parameters </w:t>
      </w:r>
      <w:r w:rsidRPr="00D33DCB">
        <w:rPr>
          <w:rFonts w:ascii="Arial" w:hAnsi="Arial" w:cs="Arial"/>
          <w:bCs/>
          <w:w w:val="105"/>
          <w:lang w:val="en-GB"/>
        </w:rPr>
        <w:t>as an integral part of our investment oversight process.</w:t>
      </w:r>
    </w:p>
    <w:p w14:paraId="1B4C0E53" w14:textId="77777777" w:rsidR="001D6E73" w:rsidRPr="00D33DCB" w:rsidRDefault="001D6E73" w:rsidP="0032632E">
      <w:pPr>
        <w:pStyle w:val="BodyText"/>
        <w:spacing w:before="1" w:line="242" w:lineRule="auto"/>
        <w:ind w:left="426" w:right="960"/>
        <w:jc w:val="both"/>
        <w:rPr>
          <w:rFonts w:ascii="Arial" w:hAnsi="Arial" w:cs="Arial"/>
          <w:bCs/>
          <w:w w:val="105"/>
          <w:lang w:val="en-GB"/>
        </w:rPr>
      </w:pPr>
    </w:p>
    <w:p w14:paraId="62C23FCC" w14:textId="77777777" w:rsidR="00D33DCB" w:rsidRPr="00D33DCB" w:rsidRDefault="00D33DCB" w:rsidP="0032632E">
      <w:pPr>
        <w:pStyle w:val="BodyText"/>
        <w:spacing w:before="1" w:after="240" w:line="242" w:lineRule="auto"/>
        <w:ind w:left="426" w:right="960"/>
        <w:jc w:val="both"/>
        <w:rPr>
          <w:rFonts w:ascii="Arial" w:hAnsi="Arial" w:cs="Arial"/>
          <w:bCs/>
          <w:w w:val="105"/>
          <w:lang w:val="en-GB"/>
        </w:rPr>
      </w:pPr>
      <w:r w:rsidRPr="00D33DCB">
        <w:rPr>
          <w:rFonts w:ascii="Arial" w:hAnsi="Arial" w:cs="Arial"/>
          <w:bCs/>
          <w:w w:val="105"/>
          <w:lang w:val="en-GB"/>
        </w:rPr>
        <w:t>Our approach includes:</w:t>
      </w:r>
    </w:p>
    <w:p w14:paraId="51166953" w14:textId="76FBA0F4" w:rsidR="00D33DCB" w:rsidRPr="00D33DCB" w:rsidRDefault="00D33DCB" w:rsidP="0032632E">
      <w:pPr>
        <w:pStyle w:val="BodyText"/>
        <w:numPr>
          <w:ilvl w:val="0"/>
          <w:numId w:val="13"/>
        </w:numPr>
        <w:spacing w:before="1" w:after="240" w:line="242" w:lineRule="auto"/>
        <w:ind w:right="960"/>
        <w:jc w:val="both"/>
        <w:rPr>
          <w:rFonts w:ascii="Arial" w:hAnsi="Arial" w:cs="Arial"/>
          <w:bCs/>
          <w:w w:val="105"/>
          <w:lang w:val="en-GB"/>
        </w:rPr>
      </w:pPr>
      <w:r w:rsidRPr="00D33DCB">
        <w:rPr>
          <w:rFonts w:ascii="Arial" w:hAnsi="Arial" w:cs="Arial"/>
          <w:b/>
          <w:bCs/>
          <w:w w:val="105"/>
          <w:lang w:val="en-GB"/>
        </w:rPr>
        <w:t>Ongoing Monitoring:</w:t>
      </w:r>
      <w:r w:rsidRPr="00D33DCB">
        <w:rPr>
          <w:rFonts w:ascii="Arial" w:hAnsi="Arial" w:cs="Arial"/>
          <w:bCs/>
          <w:w w:val="105"/>
          <w:lang w:val="en-GB"/>
        </w:rPr>
        <w:t xml:space="preserve"> We require investment managers to identify, assess, and report on ESG risks within their portfolios, including climate-related, social, and governance factors</w:t>
      </w:r>
      <w:r w:rsidR="00A26CB4">
        <w:rPr>
          <w:rFonts w:ascii="Arial" w:hAnsi="Arial" w:cs="Arial"/>
          <w:bCs/>
          <w:w w:val="105"/>
          <w:lang w:val="en-GB"/>
        </w:rPr>
        <w:t xml:space="preserve"> on a regular basis</w:t>
      </w:r>
      <w:r w:rsidRPr="00D33DCB">
        <w:rPr>
          <w:rFonts w:ascii="Arial" w:hAnsi="Arial" w:cs="Arial"/>
          <w:bCs/>
          <w:w w:val="105"/>
          <w:lang w:val="en-GB"/>
        </w:rPr>
        <w:t>.</w:t>
      </w:r>
    </w:p>
    <w:p w14:paraId="63D3646D" w14:textId="64221883" w:rsidR="00D33DCB" w:rsidRPr="00D33DCB" w:rsidRDefault="00D33DCB" w:rsidP="0032632E">
      <w:pPr>
        <w:pStyle w:val="BodyText"/>
        <w:numPr>
          <w:ilvl w:val="0"/>
          <w:numId w:val="13"/>
        </w:numPr>
        <w:spacing w:before="1" w:after="240" w:line="242" w:lineRule="auto"/>
        <w:ind w:right="960"/>
        <w:jc w:val="both"/>
        <w:rPr>
          <w:rFonts w:ascii="Arial" w:hAnsi="Arial" w:cs="Arial"/>
          <w:bCs/>
          <w:w w:val="105"/>
          <w:lang w:val="en-GB"/>
        </w:rPr>
      </w:pPr>
      <w:r w:rsidRPr="00D33DCB">
        <w:rPr>
          <w:rFonts w:ascii="Arial" w:hAnsi="Arial" w:cs="Arial"/>
          <w:b/>
          <w:bCs/>
          <w:w w:val="105"/>
          <w:lang w:val="en-GB"/>
        </w:rPr>
        <w:t>Regular Reviews:</w:t>
      </w:r>
      <w:r w:rsidRPr="00D33DCB">
        <w:rPr>
          <w:rFonts w:ascii="Arial" w:hAnsi="Arial" w:cs="Arial"/>
          <w:bCs/>
          <w:w w:val="105"/>
          <w:lang w:val="en-GB"/>
        </w:rPr>
        <w:t xml:space="preserve"> </w:t>
      </w:r>
      <w:r w:rsidR="0070717D">
        <w:rPr>
          <w:rFonts w:ascii="Arial" w:hAnsi="Arial" w:cs="Arial"/>
          <w:bCs/>
          <w:w w:val="105"/>
          <w:lang w:val="en-GB"/>
        </w:rPr>
        <w:t xml:space="preserve">Alongside financial performance, we also consider </w:t>
      </w:r>
      <w:r w:rsidRPr="00D33DCB">
        <w:rPr>
          <w:rFonts w:ascii="Arial" w:hAnsi="Arial" w:cs="Arial"/>
          <w:bCs/>
          <w:w w:val="105"/>
          <w:lang w:val="en-GB"/>
        </w:rPr>
        <w:t xml:space="preserve">ESG risk assessments </w:t>
      </w:r>
      <w:r w:rsidR="009C28C1">
        <w:rPr>
          <w:rFonts w:ascii="Arial" w:hAnsi="Arial" w:cs="Arial"/>
          <w:bCs/>
          <w:w w:val="105"/>
          <w:lang w:val="en-GB"/>
        </w:rPr>
        <w:t>as part of</w:t>
      </w:r>
      <w:r w:rsidRPr="00D33DCB">
        <w:rPr>
          <w:rFonts w:ascii="Arial" w:hAnsi="Arial" w:cs="Arial"/>
          <w:bCs/>
          <w:w w:val="105"/>
          <w:lang w:val="en-GB"/>
        </w:rPr>
        <w:t xml:space="preserve"> </w:t>
      </w:r>
      <w:r w:rsidR="009C28C1">
        <w:rPr>
          <w:rFonts w:ascii="Arial" w:hAnsi="Arial" w:cs="Arial"/>
          <w:bCs/>
          <w:w w:val="105"/>
          <w:lang w:val="en-GB"/>
        </w:rPr>
        <w:t xml:space="preserve">regular </w:t>
      </w:r>
      <w:r w:rsidRPr="00D33DCB">
        <w:rPr>
          <w:rFonts w:ascii="Arial" w:hAnsi="Arial" w:cs="Arial"/>
          <w:bCs/>
          <w:w w:val="105"/>
          <w:lang w:val="en-GB"/>
        </w:rPr>
        <w:t>meetings</w:t>
      </w:r>
      <w:r w:rsidR="005E4599">
        <w:rPr>
          <w:rFonts w:ascii="Arial" w:hAnsi="Arial" w:cs="Arial"/>
          <w:bCs/>
          <w:w w:val="105"/>
          <w:lang w:val="en-GB"/>
        </w:rPr>
        <w:t xml:space="preserve"> with </w:t>
      </w:r>
      <w:r w:rsidR="009C28C1">
        <w:rPr>
          <w:rFonts w:ascii="Arial" w:hAnsi="Arial" w:cs="Arial"/>
          <w:bCs/>
          <w:w w:val="105"/>
          <w:lang w:val="en-GB"/>
        </w:rPr>
        <w:t>all</w:t>
      </w:r>
      <w:r w:rsidR="005E4599">
        <w:rPr>
          <w:rFonts w:ascii="Arial" w:hAnsi="Arial" w:cs="Arial"/>
          <w:bCs/>
          <w:w w:val="105"/>
          <w:lang w:val="en-GB"/>
        </w:rPr>
        <w:t xml:space="preserve"> investment managers</w:t>
      </w:r>
      <w:r w:rsidR="00BE27FB">
        <w:rPr>
          <w:rFonts w:ascii="Arial" w:hAnsi="Arial" w:cs="Arial"/>
          <w:bCs/>
          <w:w w:val="105"/>
          <w:lang w:val="en-GB"/>
        </w:rPr>
        <w:t xml:space="preserve"> and LCIV</w:t>
      </w:r>
      <w:r w:rsidR="004257F2">
        <w:rPr>
          <w:rFonts w:ascii="Arial" w:hAnsi="Arial" w:cs="Arial"/>
          <w:bCs/>
          <w:w w:val="105"/>
          <w:lang w:val="en-GB"/>
        </w:rPr>
        <w:t>.</w:t>
      </w:r>
      <w:r w:rsidR="00BE27FB">
        <w:rPr>
          <w:rFonts w:ascii="Arial" w:hAnsi="Arial" w:cs="Arial"/>
          <w:bCs/>
          <w:w w:val="105"/>
          <w:lang w:val="en-GB"/>
        </w:rPr>
        <w:t xml:space="preserve"> </w:t>
      </w:r>
    </w:p>
    <w:p w14:paraId="3FC08A2E" w14:textId="5704C22A" w:rsidR="00D33DCB" w:rsidRPr="00D33DCB" w:rsidRDefault="00D33DCB" w:rsidP="0032632E">
      <w:pPr>
        <w:pStyle w:val="BodyText"/>
        <w:numPr>
          <w:ilvl w:val="0"/>
          <w:numId w:val="13"/>
        </w:numPr>
        <w:spacing w:before="1" w:after="240" w:line="242" w:lineRule="auto"/>
        <w:ind w:right="960"/>
        <w:jc w:val="both"/>
        <w:rPr>
          <w:rFonts w:ascii="Arial" w:hAnsi="Arial" w:cs="Arial"/>
          <w:bCs/>
          <w:w w:val="105"/>
          <w:lang w:val="en-GB"/>
        </w:rPr>
      </w:pPr>
      <w:r w:rsidRPr="00D33DCB">
        <w:rPr>
          <w:rFonts w:ascii="Arial" w:hAnsi="Arial" w:cs="Arial"/>
          <w:b/>
          <w:bCs/>
          <w:w w:val="105"/>
          <w:lang w:val="en-GB"/>
        </w:rPr>
        <w:t>Scenario Analysis and Stress Testing:</w:t>
      </w:r>
      <w:r w:rsidRPr="00D33DCB">
        <w:rPr>
          <w:rFonts w:ascii="Arial" w:hAnsi="Arial" w:cs="Arial"/>
          <w:bCs/>
          <w:w w:val="105"/>
          <w:lang w:val="en-GB"/>
        </w:rPr>
        <w:t xml:space="preserve"> Where appropriate</w:t>
      </w:r>
      <w:r w:rsidR="00A26CB4">
        <w:rPr>
          <w:rFonts w:ascii="Arial" w:hAnsi="Arial" w:cs="Arial"/>
          <w:bCs/>
          <w:w w:val="105"/>
          <w:lang w:val="en-GB"/>
        </w:rPr>
        <w:t xml:space="preserve"> </w:t>
      </w:r>
      <w:r w:rsidRPr="00D33DCB">
        <w:rPr>
          <w:rFonts w:ascii="Arial" w:hAnsi="Arial" w:cs="Arial"/>
          <w:bCs/>
          <w:w w:val="105"/>
          <w:lang w:val="en-GB"/>
        </w:rPr>
        <w:t>we</w:t>
      </w:r>
      <w:r w:rsidR="00EB4C90">
        <w:rPr>
          <w:rFonts w:ascii="Arial" w:hAnsi="Arial" w:cs="Arial"/>
          <w:bCs/>
          <w:w w:val="105"/>
          <w:lang w:val="en-GB"/>
        </w:rPr>
        <w:t xml:space="preserve"> will</w:t>
      </w:r>
      <w:r w:rsidRPr="00D33DCB">
        <w:rPr>
          <w:rFonts w:ascii="Arial" w:hAnsi="Arial" w:cs="Arial"/>
          <w:bCs/>
          <w:w w:val="105"/>
          <w:lang w:val="en-GB"/>
        </w:rPr>
        <w:t xml:space="preserve"> consider climate risk scenarios to understand potential impacts on the Fund’s assets and liabilities.</w:t>
      </w:r>
    </w:p>
    <w:p w14:paraId="5881E5B8" w14:textId="2F9A5E7A" w:rsidR="00D33DCB" w:rsidRPr="00D33DCB" w:rsidRDefault="00D33DCB" w:rsidP="0032632E">
      <w:pPr>
        <w:pStyle w:val="BodyText"/>
        <w:numPr>
          <w:ilvl w:val="0"/>
          <w:numId w:val="13"/>
        </w:numPr>
        <w:spacing w:before="1" w:after="240" w:line="242" w:lineRule="auto"/>
        <w:ind w:right="960"/>
        <w:jc w:val="both"/>
        <w:rPr>
          <w:rFonts w:ascii="Arial" w:hAnsi="Arial" w:cs="Arial"/>
          <w:bCs/>
          <w:w w:val="105"/>
          <w:lang w:val="en-GB"/>
        </w:rPr>
      </w:pPr>
      <w:r w:rsidRPr="00D33DCB">
        <w:rPr>
          <w:rFonts w:ascii="Arial" w:hAnsi="Arial" w:cs="Arial"/>
          <w:b/>
          <w:bCs/>
          <w:w w:val="105"/>
          <w:lang w:val="en-GB"/>
        </w:rPr>
        <w:t>Escalation and Engagement:</w:t>
      </w:r>
      <w:r w:rsidRPr="00D33DCB">
        <w:rPr>
          <w:rFonts w:ascii="Arial" w:hAnsi="Arial" w:cs="Arial"/>
          <w:bCs/>
          <w:w w:val="105"/>
          <w:lang w:val="en-GB"/>
        </w:rPr>
        <w:t xml:space="preserve"> If material ESG risks are identified, we </w:t>
      </w:r>
      <w:r w:rsidR="00BE27FB">
        <w:rPr>
          <w:rFonts w:ascii="Arial" w:hAnsi="Arial" w:cs="Arial"/>
          <w:bCs/>
          <w:w w:val="105"/>
          <w:lang w:val="en-GB"/>
        </w:rPr>
        <w:t xml:space="preserve">expect </w:t>
      </w:r>
      <w:r w:rsidRPr="00D33DCB">
        <w:rPr>
          <w:rFonts w:ascii="Arial" w:hAnsi="Arial" w:cs="Arial"/>
          <w:bCs/>
          <w:w w:val="105"/>
          <w:lang w:val="en-GB"/>
        </w:rPr>
        <w:t xml:space="preserve">managers </w:t>
      </w:r>
      <w:r w:rsidR="00BE27FB">
        <w:rPr>
          <w:rFonts w:ascii="Arial" w:hAnsi="Arial" w:cs="Arial"/>
          <w:bCs/>
          <w:w w:val="105"/>
          <w:lang w:val="en-GB"/>
        </w:rPr>
        <w:t xml:space="preserve">(including LCIV) </w:t>
      </w:r>
      <w:r w:rsidRPr="00D33DCB">
        <w:rPr>
          <w:rFonts w:ascii="Arial" w:hAnsi="Arial" w:cs="Arial"/>
          <w:bCs/>
          <w:w w:val="105"/>
          <w:lang w:val="en-GB"/>
        </w:rPr>
        <w:t>to seek mitigation strategies and, where necessary, escalate concerns through stewardship activities or governance forums.</w:t>
      </w:r>
      <w:r w:rsidR="00BE27FB">
        <w:rPr>
          <w:rFonts w:ascii="Arial" w:hAnsi="Arial" w:cs="Arial"/>
          <w:bCs/>
          <w:w w:val="105"/>
          <w:lang w:val="en-GB"/>
        </w:rPr>
        <w:t xml:space="preserve"> </w:t>
      </w:r>
    </w:p>
    <w:p w14:paraId="0A56A9FA" w14:textId="77777777" w:rsidR="00D33DCB" w:rsidRDefault="00D33DCB" w:rsidP="0032632E">
      <w:pPr>
        <w:pStyle w:val="BodyText"/>
        <w:spacing w:before="1" w:line="242" w:lineRule="auto"/>
        <w:ind w:left="426" w:right="960"/>
        <w:jc w:val="both"/>
        <w:rPr>
          <w:rFonts w:ascii="Arial" w:hAnsi="Arial" w:cs="Arial"/>
          <w:bCs/>
          <w:w w:val="105"/>
          <w:lang w:val="en-GB"/>
        </w:rPr>
      </w:pPr>
      <w:r w:rsidRPr="00D33DCB">
        <w:rPr>
          <w:rFonts w:ascii="Arial" w:hAnsi="Arial" w:cs="Arial"/>
          <w:bCs/>
          <w:w w:val="105"/>
          <w:lang w:val="en-GB"/>
        </w:rPr>
        <w:t>This process ensures that ESG risks are systematically evaluated and managed in line with our fiduciary duty and commitment to responsible investment.</w:t>
      </w:r>
    </w:p>
    <w:p w14:paraId="35076DAE" w14:textId="77777777" w:rsidR="00597898" w:rsidRDefault="00597898" w:rsidP="0032632E">
      <w:pPr>
        <w:pStyle w:val="BodyText"/>
        <w:spacing w:before="1" w:line="242" w:lineRule="auto"/>
        <w:ind w:left="426" w:right="960"/>
        <w:jc w:val="both"/>
        <w:rPr>
          <w:rFonts w:ascii="Arial" w:hAnsi="Arial" w:cs="Arial"/>
          <w:bCs/>
          <w:w w:val="105"/>
          <w:lang w:val="en-GB"/>
        </w:rPr>
      </w:pPr>
    </w:p>
    <w:p w14:paraId="31358C51" w14:textId="56DC2524" w:rsidR="00597898" w:rsidRDefault="005B768C" w:rsidP="0032632E">
      <w:pPr>
        <w:pStyle w:val="BodyText"/>
        <w:spacing w:before="1" w:line="242" w:lineRule="auto"/>
        <w:ind w:left="426" w:right="960"/>
        <w:jc w:val="both"/>
        <w:rPr>
          <w:rFonts w:ascii="Arial" w:hAnsi="Arial" w:cs="Arial"/>
          <w:bCs/>
          <w:w w:val="105"/>
          <w:lang w:val="en-GB"/>
        </w:rPr>
      </w:pPr>
      <w:r>
        <w:rPr>
          <w:rFonts w:ascii="Arial" w:hAnsi="Arial" w:cs="Arial"/>
          <w:bCs/>
          <w:w w:val="105"/>
          <w:lang w:val="en-GB"/>
        </w:rPr>
        <w:t>The Fund provides u</w:t>
      </w:r>
      <w:r w:rsidR="00597898">
        <w:rPr>
          <w:rFonts w:ascii="Arial" w:hAnsi="Arial" w:cs="Arial"/>
          <w:bCs/>
          <w:w w:val="105"/>
          <w:lang w:val="en-GB"/>
        </w:rPr>
        <w:t xml:space="preserve">pdates on </w:t>
      </w:r>
      <w:r w:rsidR="00EB4C90">
        <w:rPr>
          <w:rFonts w:ascii="Arial" w:hAnsi="Arial" w:cs="Arial"/>
          <w:bCs/>
          <w:w w:val="105"/>
          <w:lang w:val="en-GB"/>
        </w:rPr>
        <w:t>monitoring and assessment of RI priorities to</w:t>
      </w:r>
      <w:r w:rsidR="00661F7D">
        <w:rPr>
          <w:rFonts w:ascii="Arial" w:hAnsi="Arial" w:cs="Arial"/>
          <w:bCs/>
          <w:w w:val="105"/>
          <w:lang w:val="en-GB"/>
        </w:rPr>
        <w:t xml:space="preserve"> the</w:t>
      </w:r>
      <w:r w:rsidR="00EB4C90">
        <w:rPr>
          <w:rFonts w:ascii="Arial" w:hAnsi="Arial" w:cs="Arial"/>
          <w:bCs/>
          <w:w w:val="105"/>
          <w:lang w:val="en-GB"/>
        </w:rPr>
        <w:t xml:space="preserve"> P</w:t>
      </w:r>
      <w:r w:rsidR="00661F7D">
        <w:rPr>
          <w:rFonts w:ascii="Arial" w:hAnsi="Arial" w:cs="Arial"/>
          <w:bCs/>
          <w:w w:val="105"/>
          <w:lang w:val="en-GB"/>
        </w:rPr>
        <w:t xml:space="preserve">ensions </w:t>
      </w:r>
      <w:r w:rsidR="00EB4C90">
        <w:rPr>
          <w:rFonts w:ascii="Arial" w:hAnsi="Arial" w:cs="Arial"/>
          <w:bCs/>
          <w:w w:val="105"/>
          <w:lang w:val="en-GB"/>
        </w:rPr>
        <w:t>A</w:t>
      </w:r>
      <w:r w:rsidR="00661F7D">
        <w:rPr>
          <w:rFonts w:ascii="Arial" w:hAnsi="Arial" w:cs="Arial"/>
          <w:bCs/>
          <w:w w:val="105"/>
          <w:lang w:val="en-GB"/>
        </w:rPr>
        <w:t xml:space="preserve">dvisory </w:t>
      </w:r>
      <w:r w:rsidR="00EB4C90">
        <w:rPr>
          <w:rFonts w:ascii="Arial" w:hAnsi="Arial" w:cs="Arial"/>
          <w:bCs/>
          <w:w w:val="105"/>
          <w:lang w:val="en-GB"/>
        </w:rPr>
        <w:t>P</w:t>
      </w:r>
      <w:r w:rsidR="00661F7D">
        <w:rPr>
          <w:rFonts w:ascii="Arial" w:hAnsi="Arial" w:cs="Arial"/>
          <w:bCs/>
          <w:w w:val="105"/>
          <w:lang w:val="en-GB"/>
        </w:rPr>
        <w:t>anel</w:t>
      </w:r>
      <w:r w:rsidR="00EB4C90">
        <w:rPr>
          <w:rFonts w:ascii="Arial" w:hAnsi="Arial" w:cs="Arial"/>
          <w:bCs/>
          <w:w w:val="105"/>
          <w:lang w:val="en-GB"/>
        </w:rPr>
        <w:t xml:space="preserve"> </w:t>
      </w:r>
      <w:r w:rsidR="00661F7D">
        <w:rPr>
          <w:rFonts w:ascii="Arial" w:hAnsi="Arial" w:cs="Arial"/>
          <w:bCs/>
          <w:w w:val="105"/>
          <w:lang w:val="en-GB"/>
        </w:rPr>
        <w:t>on a quarterly basis.</w:t>
      </w:r>
      <w:r w:rsidR="00597898">
        <w:rPr>
          <w:rFonts w:ascii="Arial" w:hAnsi="Arial" w:cs="Arial"/>
          <w:bCs/>
          <w:w w:val="105"/>
          <w:lang w:val="en-GB"/>
        </w:rPr>
        <w:t xml:space="preserve"> </w:t>
      </w:r>
    </w:p>
    <w:p w14:paraId="537BD179" w14:textId="6E102002" w:rsidR="00B026F4" w:rsidRPr="00A32857" w:rsidRDefault="00D33DCB" w:rsidP="0032632E">
      <w:pPr>
        <w:pStyle w:val="BodyText"/>
        <w:spacing w:before="1" w:line="242" w:lineRule="auto"/>
        <w:ind w:left="426" w:right="960"/>
        <w:jc w:val="both"/>
        <w:rPr>
          <w:rFonts w:ascii="Arial" w:hAnsi="Arial" w:cs="Arial"/>
          <w:bCs/>
          <w:w w:val="105"/>
          <w:lang w:val="en-GB"/>
        </w:rPr>
      </w:pPr>
      <w:r>
        <w:rPr>
          <w:rFonts w:ascii="Arial" w:hAnsi="Arial" w:cs="Arial"/>
          <w:bCs/>
          <w:w w:val="105"/>
          <w:lang w:val="en-GB"/>
        </w:rPr>
        <w:tab/>
      </w:r>
    </w:p>
    <w:p w14:paraId="3899553A" w14:textId="5F6DC397" w:rsidR="00426422" w:rsidRDefault="00426422" w:rsidP="0032632E">
      <w:pPr>
        <w:pStyle w:val="BodyText"/>
        <w:numPr>
          <w:ilvl w:val="1"/>
          <w:numId w:val="8"/>
        </w:numPr>
        <w:spacing w:before="1" w:after="240" w:line="242" w:lineRule="auto"/>
        <w:ind w:right="960"/>
        <w:jc w:val="both"/>
        <w:rPr>
          <w:rFonts w:ascii="Arial" w:hAnsi="Arial" w:cs="Arial"/>
          <w:b/>
          <w:bCs/>
          <w:w w:val="105"/>
          <w:lang w:val="en-GB"/>
        </w:rPr>
      </w:pPr>
      <w:r>
        <w:rPr>
          <w:rFonts w:ascii="Arial" w:hAnsi="Arial" w:cs="Arial"/>
          <w:b/>
          <w:bCs/>
          <w:w w:val="105"/>
          <w:lang w:val="en-GB"/>
        </w:rPr>
        <w:t>Divestment</w:t>
      </w:r>
    </w:p>
    <w:p w14:paraId="1B5E9CDC" w14:textId="0AA6474A" w:rsidR="00426422" w:rsidRPr="00A32857" w:rsidRDefault="00426422" w:rsidP="0032632E">
      <w:pPr>
        <w:pStyle w:val="BodyText"/>
        <w:spacing w:before="1" w:after="240" w:line="242" w:lineRule="auto"/>
        <w:ind w:left="375" w:right="960"/>
        <w:jc w:val="both"/>
        <w:rPr>
          <w:rFonts w:ascii="Arial" w:hAnsi="Arial" w:cs="Arial"/>
          <w:w w:val="105"/>
          <w:lang w:val="en-GB"/>
        </w:rPr>
      </w:pPr>
      <w:r w:rsidRPr="00A32857">
        <w:rPr>
          <w:rFonts w:ascii="Arial" w:hAnsi="Arial" w:cs="Arial"/>
          <w:w w:val="105"/>
          <w:lang w:val="en-GB"/>
        </w:rPr>
        <w:t xml:space="preserve">Where serious financial or ethical concerns arise and engagement or escalation has not been effective, the Fund </w:t>
      </w:r>
      <w:r w:rsidR="00BE27FB">
        <w:rPr>
          <w:rFonts w:ascii="Arial" w:hAnsi="Arial" w:cs="Arial"/>
          <w:w w:val="105"/>
          <w:lang w:val="en-GB"/>
        </w:rPr>
        <w:t>will engage with investment managers</w:t>
      </w:r>
      <w:r w:rsidR="001963B2">
        <w:rPr>
          <w:rFonts w:ascii="Arial" w:hAnsi="Arial" w:cs="Arial"/>
          <w:w w:val="105"/>
          <w:lang w:val="en-GB"/>
        </w:rPr>
        <w:t>, including</w:t>
      </w:r>
      <w:r w:rsidR="00BE27FB">
        <w:rPr>
          <w:rFonts w:ascii="Arial" w:hAnsi="Arial" w:cs="Arial"/>
          <w:w w:val="105"/>
          <w:lang w:val="en-GB"/>
        </w:rPr>
        <w:t xml:space="preserve"> LCIV to explore </w:t>
      </w:r>
      <w:r w:rsidRPr="00A32857">
        <w:rPr>
          <w:rFonts w:ascii="Arial" w:hAnsi="Arial" w:cs="Arial"/>
          <w:w w:val="105"/>
          <w:lang w:val="en-GB"/>
        </w:rPr>
        <w:t>divestment.</w:t>
      </w:r>
    </w:p>
    <w:p w14:paraId="17B45A79" w14:textId="2B1E8A24" w:rsidR="00426422" w:rsidRPr="00A32857" w:rsidRDefault="00BE27FB" w:rsidP="0032632E">
      <w:pPr>
        <w:pStyle w:val="BodyText"/>
        <w:spacing w:before="1" w:after="240" w:line="242" w:lineRule="auto"/>
        <w:ind w:left="375" w:right="960"/>
        <w:jc w:val="both"/>
        <w:rPr>
          <w:rFonts w:ascii="Arial" w:hAnsi="Arial" w:cs="Arial"/>
          <w:w w:val="105"/>
          <w:lang w:val="en-GB"/>
        </w:rPr>
      </w:pPr>
      <w:r>
        <w:rPr>
          <w:rFonts w:ascii="Arial" w:hAnsi="Arial" w:cs="Arial"/>
          <w:w w:val="105"/>
          <w:lang w:val="en-GB"/>
        </w:rPr>
        <w:lastRenderedPageBreak/>
        <w:t xml:space="preserve">While engaging with </w:t>
      </w:r>
      <w:r w:rsidR="001963B2">
        <w:rPr>
          <w:rFonts w:ascii="Arial" w:hAnsi="Arial" w:cs="Arial"/>
          <w:w w:val="105"/>
          <w:lang w:val="en-GB"/>
        </w:rPr>
        <w:t xml:space="preserve">investment managers and </w:t>
      </w:r>
      <w:r>
        <w:rPr>
          <w:rFonts w:ascii="Arial" w:hAnsi="Arial" w:cs="Arial"/>
          <w:w w:val="105"/>
          <w:lang w:val="en-GB"/>
        </w:rPr>
        <w:t>LCIV,</w:t>
      </w:r>
      <w:r w:rsidRPr="00A32857">
        <w:rPr>
          <w:rFonts w:ascii="Arial" w:hAnsi="Arial" w:cs="Arial"/>
          <w:w w:val="105"/>
          <w:lang w:val="en-GB"/>
        </w:rPr>
        <w:t xml:space="preserve"> </w:t>
      </w:r>
      <w:r w:rsidR="00426422" w:rsidRPr="00A32857">
        <w:rPr>
          <w:rFonts w:ascii="Arial" w:hAnsi="Arial" w:cs="Arial"/>
          <w:w w:val="105"/>
          <w:lang w:val="en-GB"/>
        </w:rPr>
        <w:t xml:space="preserve">we </w:t>
      </w:r>
      <w:r>
        <w:rPr>
          <w:rFonts w:ascii="Arial" w:hAnsi="Arial" w:cs="Arial"/>
          <w:w w:val="105"/>
          <w:lang w:val="en-GB"/>
        </w:rPr>
        <w:t xml:space="preserve">will </w:t>
      </w:r>
      <w:r w:rsidR="00426422" w:rsidRPr="00A32857">
        <w:rPr>
          <w:rFonts w:ascii="Arial" w:hAnsi="Arial" w:cs="Arial"/>
          <w:w w:val="105"/>
          <w:lang w:val="en-GB"/>
        </w:rPr>
        <w:t>consider:</w:t>
      </w:r>
    </w:p>
    <w:p w14:paraId="7CFF906C" w14:textId="77777777" w:rsidR="00426422" w:rsidRPr="00A32857" w:rsidRDefault="00426422" w:rsidP="0032632E">
      <w:pPr>
        <w:pStyle w:val="BodyText"/>
        <w:numPr>
          <w:ilvl w:val="0"/>
          <w:numId w:val="14"/>
        </w:numPr>
        <w:spacing w:before="1" w:after="240" w:line="242" w:lineRule="auto"/>
        <w:ind w:right="960"/>
        <w:jc w:val="both"/>
        <w:rPr>
          <w:rFonts w:ascii="Arial" w:hAnsi="Arial" w:cs="Arial"/>
          <w:w w:val="105"/>
          <w:lang w:val="en-GB"/>
        </w:rPr>
      </w:pPr>
      <w:r w:rsidRPr="00A32857">
        <w:rPr>
          <w:rFonts w:ascii="Arial" w:hAnsi="Arial" w:cs="Arial"/>
          <w:w w:val="105"/>
          <w:lang w:val="en-GB"/>
        </w:rPr>
        <w:t>Financial materiality of the issue</w:t>
      </w:r>
    </w:p>
    <w:p w14:paraId="73546F79" w14:textId="77777777" w:rsidR="00426422" w:rsidRPr="00A32857" w:rsidRDefault="00426422" w:rsidP="0032632E">
      <w:pPr>
        <w:pStyle w:val="BodyText"/>
        <w:numPr>
          <w:ilvl w:val="0"/>
          <w:numId w:val="14"/>
        </w:numPr>
        <w:spacing w:before="1" w:after="240" w:line="242" w:lineRule="auto"/>
        <w:ind w:right="960"/>
        <w:jc w:val="both"/>
        <w:rPr>
          <w:rFonts w:ascii="Arial" w:hAnsi="Arial" w:cs="Arial"/>
          <w:w w:val="105"/>
          <w:lang w:val="en-GB"/>
        </w:rPr>
      </w:pPr>
      <w:r w:rsidRPr="00A32857">
        <w:rPr>
          <w:rFonts w:ascii="Arial" w:hAnsi="Arial" w:cs="Arial"/>
          <w:w w:val="105"/>
          <w:lang w:val="en-GB"/>
        </w:rPr>
        <w:t>The company’s ability and willingness to address concerns</w:t>
      </w:r>
    </w:p>
    <w:p w14:paraId="0945790F" w14:textId="77777777" w:rsidR="00426422" w:rsidRPr="00A32857" w:rsidRDefault="00426422" w:rsidP="0032632E">
      <w:pPr>
        <w:pStyle w:val="BodyText"/>
        <w:numPr>
          <w:ilvl w:val="0"/>
          <w:numId w:val="14"/>
        </w:numPr>
        <w:spacing w:before="1" w:after="240" w:line="242" w:lineRule="auto"/>
        <w:ind w:right="960"/>
        <w:jc w:val="both"/>
        <w:rPr>
          <w:rFonts w:ascii="Arial" w:hAnsi="Arial" w:cs="Arial"/>
          <w:w w:val="105"/>
          <w:lang w:val="en-GB"/>
        </w:rPr>
      </w:pPr>
      <w:r w:rsidRPr="00A32857">
        <w:rPr>
          <w:rFonts w:ascii="Arial" w:hAnsi="Arial" w:cs="Arial"/>
          <w:w w:val="105"/>
          <w:lang w:val="en-GB"/>
        </w:rPr>
        <w:t>Positive contributions or essential services provided</w:t>
      </w:r>
    </w:p>
    <w:p w14:paraId="4941F0EB" w14:textId="77777777" w:rsidR="00426422" w:rsidRPr="00A32857" w:rsidRDefault="00426422" w:rsidP="0032632E">
      <w:pPr>
        <w:pStyle w:val="BodyText"/>
        <w:numPr>
          <w:ilvl w:val="0"/>
          <w:numId w:val="14"/>
        </w:numPr>
        <w:spacing w:before="1" w:after="240" w:line="242" w:lineRule="auto"/>
        <w:ind w:right="960"/>
        <w:jc w:val="both"/>
        <w:rPr>
          <w:rFonts w:ascii="Arial" w:hAnsi="Arial" w:cs="Arial"/>
          <w:w w:val="105"/>
          <w:lang w:val="en-GB"/>
        </w:rPr>
      </w:pPr>
      <w:r w:rsidRPr="00A32857">
        <w:rPr>
          <w:rFonts w:ascii="Arial" w:hAnsi="Arial" w:cs="Arial"/>
          <w:w w:val="105"/>
          <w:lang w:val="en-GB"/>
        </w:rPr>
        <w:t>Practicality and financial impact of divestment</w:t>
      </w:r>
    </w:p>
    <w:p w14:paraId="01C43141" w14:textId="77777777" w:rsidR="00426422" w:rsidRPr="00A32857" w:rsidRDefault="00426422" w:rsidP="0032632E">
      <w:pPr>
        <w:pStyle w:val="BodyText"/>
        <w:numPr>
          <w:ilvl w:val="0"/>
          <w:numId w:val="14"/>
        </w:numPr>
        <w:spacing w:before="1" w:after="240" w:line="242" w:lineRule="auto"/>
        <w:ind w:right="960"/>
        <w:jc w:val="both"/>
        <w:rPr>
          <w:rFonts w:ascii="Arial" w:hAnsi="Arial" w:cs="Arial"/>
          <w:w w:val="105"/>
          <w:lang w:val="en-GB"/>
        </w:rPr>
      </w:pPr>
      <w:r w:rsidRPr="00A32857">
        <w:rPr>
          <w:rFonts w:ascii="Arial" w:hAnsi="Arial" w:cs="Arial"/>
          <w:w w:val="105"/>
          <w:lang w:val="en-GB"/>
        </w:rPr>
        <w:t>Availability of suitable alternatives</w:t>
      </w:r>
    </w:p>
    <w:p w14:paraId="2AE7D84C" w14:textId="77777777" w:rsidR="009F3481" w:rsidRDefault="00426422" w:rsidP="0032632E">
      <w:pPr>
        <w:pStyle w:val="BodyText"/>
        <w:spacing w:before="1" w:after="240" w:line="242" w:lineRule="auto"/>
        <w:ind w:left="375" w:right="960"/>
        <w:jc w:val="both"/>
        <w:rPr>
          <w:rFonts w:ascii="Arial" w:hAnsi="Arial" w:cs="Arial"/>
          <w:w w:val="105"/>
          <w:lang w:val="en-GB"/>
        </w:rPr>
      </w:pPr>
      <w:r w:rsidRPr="00A32857">
        <w:rPr>
          <w:rFonts w:ascii="Arial" w:hAnsi="Arial" w:cs="Arial"/>
          <w:w w:val="105"/>
          <w:lang w:val="en-GB"/>
        </w:rPr>
        <w:t xml:space="preserve">Divestment is viewed as a last resort, not a primary objective. We prioritise engagement to drive positive change, as divestment often has limited real-world impact. </w:t>
      </w:r>
    </w:p>
    <w:p w14:paraId="5EA241D5" w14:textId="3DE897E3" w:rsidR="00426422" w:rsidRPr="00A32857" w:rsidRDefault="007700AA" w:rsidP="0032632E">
      <w:pPr>
        <w:pStyle w:val="BodyText"/>
        <w:spacing w:before="1" w:after="240" w:line="242" w:lineRule="auto"/>
        <w:ind w:left="375" w:right="960"/>
        <w:jc w:val="both"/>
        <w:rPr>
          <w:rFonts w:ascii="Arial" w:hAnsi="Arial" w:cs="Arial"/>
          <w:w w:val="105"/>
          <w:lang w:val="en-GB"/>
        </w:rPr>
      </w:pPr>
      <w:r>
        <w:rPr>
          <w:rFonts w:ascii="Arial" w:hAnsi="Arial" w:cs="Arial"/>
          <w:w w:val="105"/>
          <w:lang w:val="en-GB"/>
        </w:rPr>
        <w:t>Investments will be monitored</w:t>
      </w:r>
      <w:r w:rsidR="001963B2">
        <w:rPr>
          <w:rFonts w:ascii="Arial" w:hAnsi="Arial" w:cs="Arial"/>
          <w:w w:val="105"/>
          <w:lang w:val="en-GB"/>
        </w:rPr>
        <w:t xml:space="preserve"> on an ongoing </w:t>
      </w:r>
      <w:r w:rsidR="007F53DA">
        <w:rPr>
          <w:rFonts w:ascii="Arial" w:hAnsi="Arial" w:cs="Arial"/>
          <w:w w:val="105"/>
          <w:lang w:val="en-GB"/>
        </w:rPr>
        <w:t>basis,</w:t>
      </w:r>
      <w:r w:rsidR="001963B2">
        <w:rPr>
          <w:rFonts w:ascii="Arial" w:hAnsi="Arial" w:cs="Arial"/>
          <w:w w:val="105"/>
          <w:lang w:val="en-GB"/>
        </w:rPr>
        <w:t xml:space="preserve"> and concerns </w:t>
      </w:r>
      <w:r w:rsidR="005F35C0">
        <w:rPr>
          <w:rFonts w:ascii="Arial" w:hAnsi="Arial" w:cs="Arial"/>
          <w:w w:val="105"/>
          <w:lang w:val="en-GB"/>
        </w:rPr>
        <w:t xml:space="preserve">will be raised </w:t>
      </w:r>
      <w:r w:rsidR="001963B2">
        <w:rPr>
          <w:rFonts w:ascii="Arial" w:hAnsi="Arial" w:cs="Arial"/>
          <w:w w:val="105"/>
          <w:lang w:val="en-GB"/>
        </w:rPr>
        <w:t>with LCIV in case</w:t>
      </w:r>
      <w:r w:rsidR="005F35C0">
        <w:rPr>
          <w:rFonts w:ascii="Arial" w:hAnsi="Arial" w:cs="Arial"/>
          <w:w w:val="105"/>
          <w:lang w:val="en-GB"/>
        </w:rPr>
        <w:t>s where</w:t>
      </w:r>
      <w:r w:rsidR="001963B2">
        <w:rPr>
          <w:rFonts w:ascii="Arial" w:hAnsi="Arial" w:cs="Arial"/>
          <w:w w:val="105"/>
          <w:lang w:val="en-GB"/>
        </w:rPr>
        <w:t xml:space="preserve"> we believe divestment is an appropriate action for a particular investment. However, </w:t>
      </w:r>
      <w:r w:rsidR="001963B2" w:rsidRPr="00A32857">
        <w:rPr>
          <w:rFonts w:ascii="Arial" w:hAnsi="Arial" w:cs="Arial"/>
          <w:w w:val="105"/>
          <w:lang w:val="en-GB"/>
        </w:rPr>
        <w:t>engagement</w:t>
      </w:r>
      <w:r w:rsidR="001963B2">
        <w:rPr>
          <w:rFonts w:ascii="Arial" w:hAnsi="Arial" w:cs="Arial"/>
          <w:w w:val="105"/>
          <w:lang w:val="en-GB"/>
        </w:rPr>
        <w:t>,</w:t>
      </w:r>
      <w:r w:rsidR="001963B2" w:rsidRPr="00A32857">
        <w:rPr>
          <w:rFonts w:ascii="Arial" w:hAnsi="Arial" w:cs="Arial"/>
          <w:w w:val="105"/>
          <w:lang w:val="en-GB"/>
        </w:rPr>
        <w:t xml:space="preserve"> escalation </w:t>
      </w:r>
      <w:r w:rsidR="001963B2">
        <w:rPr>
          <w:rFonts w:ascii="Arial" w:hAnsi="Arial" w:cs="Arial"/>
          <w:w w:val="105"/>
          <w:lang w:val="en-GB"/>
        </w:rPr>
        <w:t>and divestment will be</w:t>
      </w:r>
      <w:r w:rsidR="001963B2" w:rsidRPr="00A32857">
        <w:rPr>
          <w:rFonts w:ascii="Arial" w:hAnsi="Arial" w:cs="Arial"/>
          <w:w w:val="105"/>
          <w:lang w:val="en-GB"/>
        </w:rPr>
        <w:t xml:space="preserve"> undertaken </w:t>
      </w:r>
      <w:r w:rsidR="001963B2">
        <w:rPr>
          <w:rFonts w:ascii="Arial" w:hAnsi="Arial" w:cs="Arial"/>
          <w:w w:val="105"/>
          <w:lang w:val="en-GB"/>
        </w:rPr>
        <w:t>by L</w:t>
      </w:r>
      <w:r w:rsidR="001963B2" w:rsidRPr="00A32857">
        <w:rPr>
          <w:rFonts w:ascii="Arial" w:hAnsi="Arial" w:cs="Arial"/>
          <w:w w:val="105"/>
          <w:lang w:val="en-GB"/>
        </w:rPr>
        <w:t xml:space="preserve">CIV and its stewardship </w:t>
      </w:r>
      <w:r w:rsidR="001963B2">
        <w:rPr>
          <w:rFonts w:ascii="Arial" w:hAnsi="Arial" w:cs="Arial"/>
          <w:w w:val="105"/>
          <w:lang w:val="en-GB"/>
        </w:rPr>
        <w:t xml:space="preserve">service </w:t>
      </w:r>
      <w:r w:rsidR="001963B2" w:rsidRPr="00A32857">
        <w:rPr>
          <w:rFonts w:ascii="Arial" w:hAnsi="Arial" w:cs="Arial"/>
          <w:w w:val="105"/>
          <w:lang w:val="en-GB"/>
        </w:rPr>
        <w:t>provider</w:t>
      </w:r>
      <w:r w:rsidR="001963B2">
        <w:rPr>
          <w:rFonts w:ascii="Arial" w:hAnsi="Arial" w:cs="Arial"/>
          <w:w w:val="105"/>
          <w:lang w:val="en-GB"/>
        </w:rPr>
        <w:t>.</w:t>
      </w:r>
      <w:r w:rsidR="001963B2" w:rsidRPr="00A32857">
        <w:rPr>
          <w:rFonts w:ascii="Arial" w:hAnsi="Arial" w:cs="Arial"/>
          <w:w w:val="105"/>
          <w:lang w:val="en-GB"/>
        </w:rPr>
        <w:t xml:space="preserve"> </w:t>
      </w:r>
      <w:r w:rsidR="00F3117C">
        <w:rPr>
          <w:rFonts w:ascii="Arial" w:hAnsi="Arial" w:cs="Arial"/>
          <w:w w:val="105"/>
          <w:lang w:val="en-GB"/>
        </w:rPr>
        <w:t>T</w:t>
      </w:r>
      <w:r w:rsidR="00426422" w:rsidRPr="00A32857">
        <w:rPr>
          <w:rFonts w:ascii="Arial" w:hAnsi="Arial" w:cs="Arial"/>
          <w:w w:val="105"/>
          <w:lang w:val="en-GB"/>
        </w:rPr>
        <w:t xml:space="preserve">he Fund </w:t>
      </w:r>
      <w:r w:rsidR="001963B2">
        <w:rPr>
          <w:rFonts w:ascii="Arial" w:hAnsi="Arial" w:cs="Arial"/>
          <w:w w:val="105"/>
          <w:lang w:val="en-GB"/>
        </w:rPr>
        <w:t>will</w:t>
      </w:r>
      <w:r w:rsidR="001963B2" w:rsidRPr="00A32857">
        <w:rPr>
          <w:rFonts w:ascii="Arial" w:hAnsi="Arial" w:cs="Arial"/>
          <w:w w:val="105"/>
          <w:lang w:val="en-GB"/>
        </w:rPr>
        <w:t xml:space="preserve"> </w:t>
      </w:r>
      <w:r w:rsidR="00426422" w:rsidRPr="00A32857">
        <w:rPr>
          <w:rFonts w:ascii="Arial" w:hAnsi="Arial" w:cs="Arial"/>
          <w:w w:val="105"/>
          <w:lang w:val="en-GB"/>
        </w:rPr>
        <w:t xml:space="preserve">not engage directly with </w:t>
      </w:r>
      <w:r w:rsidR="001963B2">
        <w:rPr>
          <w:rFonts w:ascii="Arial" w:hAnsi="Arial" w:cs="Arial"/>
          <w:w w:val="105"/>
          <w:lang w:val="en-GB"/>
        </w:rPr>
        <w:t xml:space="preserve">any </w:t>
      </w:r>
      <w:r w:rsidR="00426422" w:rsidRPr="00A32857">
        <w:rPr>
          <w:rFonts w:ascii="Arial" w:hAnsi="Arial" w:cs="Arial"/>
          <w:w w:val="105"/>
          <w:lang w:val="en-GB"/>
        </w:rPr>
        <w:t>underlying companies</w:t>
      </w:r>
      <w:r w:rsidR="009F3481">
        <w:rPr>
          <w:rFonts w:ascii="Arial" w:hAnsi="Arial" w:cs="Arial"/>
          <w:w w:val="105"/>
          <w:lang w:val="en-GB"/>
        </w:rPr>
        <w:t xml:space="preserve"> </w:t>
      </w:r>
      <w:r w:rsidR="009D456D">
        <w:rPr>
          <w:rFonts w:ascii="Arial" w:hAnsi="Arial" w:cs="Arial"/>
          <w:w w:val="105"/>
          <w:lang w:val="en-GB"/>
        </w:rPr>
        <w:t>and</w:t>
      </w:r>
      <w:r w:rsidR="001963B2">
        <w:rPr>
          <w:rFonts w:ascii="Arial" w:hAnsi="Arial" w:cs="Arial"/>
          <w:w w:val="105"/>
          <w:lang w:val="en-GB"/>
        </w:rPr>
        <w:t xml:space="preserve"> </w:t>
      </w:r>
      <w:r w:rsidR="009D456D">
        <w:rPr>
          <w:rFonts w:ascii="Arial" w:hAnsi="Arial" w:cs="Arial"/>
          <w:w w:val="105"/>
          <w:lang w:val="en-GB"/>
        </w:rPr>
        <w:t xml:space="preserve">will also not </w:t>
      </w:r>
      <w:r w:rsidR="001963B2">
        <w:rPr>
          <w:rFonts w:ascii="Arial" w:hAnsi="Arial" w:cs="Arial"/>
          <w:w w:val="105"/>
          <w:lang w:val="en-GB"/>
        </w:rPr>
        <w:t xml:space="preserve">make divestment decisions </w:t>
      </w:r>
      <w:r w:rsidR="009D456D">
        <w:rPr>
          <w:rFonts w:ascii="Arial" w:hAnsi="Arial" w:cs="Arial"/>
          <w:w w:val="105"/>
          <w:lang w:val="en-GB"/>
        </w:rPr>
        <w:t>independently</w:t>
      </w:r>
      <w:r w:rsidR="009F3481">
        <w:rPr>
          <w:rFonts w:ascii="Arial" w:hAnsi="Arial" w:cs="Arial"/>
          <w:w w:val="105"/>
          <w:lang w:val="en-GB"/>
        </w:rPr>
        <w:t>.</w:t>
      </w:r>
    </w:p>
    <w:p w14:paraId="0362679B" w14:textId="23EE29F8" w:rsidR="004B7F7E" w:rsidRPr="00A32857" w:rsidRDefault="00B147C3" w:rsidP="0032632E">
      <w:pPr>
        <w:pStyle w:val="BodyText"/>
        <w:numPr>
          <w:ilvl w:val="1"/>
          <w:numId w:val="8"/>
        </w:numPr>
        <w:spacing w:before="1" w:after="240" w:line="242" w:lineRule="auto"/>
        <w:ind w:right="960"/>
        <w:jc w:val="both"/>
        <w:rPr>
          <w:rFonts w:ascii="Arial" w:hAnsi="Arial" w:cs="Arial"/>
          <w:b/>
          <w:bCs/>
          <w:w w:val="105"/>
          <w:lang w:val="en-GB"/>
        </w:rPr>
      </w:pPr>
      <w:r>
        <w:rPr>
          <w:rFonts w:ascii="Arial" w:hAnsi="Arial" w:cs="Arial"/>
          <w:b/>
          <w:bCs/>
          <w:w w:val="105"/>
          <w:lang w:val="en-GB"/>
        </w:rPr>
        <w:t>Exclusions</w:t>
      </w:r>
    </w:p>
    <w:p w14:paraId="0472E26D" w14:textId="31680589" w:rsidR="007131C0" w:rsidRPr="00841F3A" w:rsidRDefault="00BD742B" w:rsidP="0032632E">
      <w:pPr>
        <w:pStyle w:val="BodyText"/>
        <w:spacing w:before="1" w:line="242" w:lineRule="auto"/>
        <w:ind w:left="375" w:right="960"/>
        <w:jc w:val="both"/>
        <w:rPr>
          <w:rFonts w:ascii="Arial" w:hAnsi="Arial" w:cs="Arial"/>
          <w:lang w:val="en-GB"/>
        </w:rPr>
      </w:pPr>
      <w:r w:rsidRPr="00841F3A">
        <w:rPr>
          <w:rFonts w:ascii="Arial" w:hAnsi="Arial" w:cs="Arial"/>
          <w:lang w:val="en-GB"/>
        </w:rPr>
        <w:t>Where appropriate, t</w:t>
      </w:r>
      <w:r w:rsidR="007131C0" w:rsidRPr="00841F3A">
        <w:rPr>
          <w:rFonts w:ascii="Arial" w:hAnsi="Arial" w:cs="Arial"/>
          <w:lang w:val="en-GB"/>
        </w:rPr>
        <w:t>he Fund exclude</w:t>
      </w:r>
      <w:r w:rsidRPr="00841F3A">
        <w:rPr>
          <w:rFonts w:ascii="Arial" w:hAnsi="Arial" w:cs="Arial"/>
          <w:lang w:val="en-GB"/>
        </w:rPr>
        <w:t>s</w:t>
      </w:r>
      <w:r w:rsidR="00D76F63" w:rsidRPr="00841F3A">
        <w:rPr>
          <w:rFonts w:ascii="Arial" w:hAnsi="Arial" w:cs="Arial"/>
          <w:lang w:val="en-GB"/>
        </w:rPr>
        <w:t xml:space="preserve"> </w:t>
      </w:r>
      <w:r w:rsidR="00996A6E" w:rsidRPr="00841F3A">
        <w:rPr>
          <w:rFonts w:ascii="Arial" w:hAnsi="Arial" w:cs="Arial"/>
          <w:lang w:val="en-GB"/>
        </w:rPr>
        <w:t>companies</w:t>
      </w:r>
      <w:r w:rsidR="007131C0" w:rsidRPr="00841F3A">
        <w:rPr>
          <w:rFonts w:ascii="Arial" w:hAnsi="Arial" w:cs="Arial"/>
          <w:lang w:val="en-GB"/>
        </w:rPr>
        <w:t>, sectors or</w:t>
      </w:r>
      <w:r w:rsidR="00D76F63" w:rsidRPr="00841F3A">
        <w:rPr>
          <w:rFonts w:ascii="Arial" w:hAnsi="Arial" w:cs="Arial"/>
          <w:lang w:val="en-GB"/>
        </w:rPr>
        <w:t xml:space="preserve"> </w:t>
      </w:r>
      <w:r w:rsidR="007131C0" w:rsidRPr="00841F3A">
        <w:rPr>
          <w:rFonts w:ascii="Arial" w:hAnsi="Arial" w:cs="Arial"/>
          <w:lang w:val="en-GB"/>
        </w:rPr>
        <w:t>asset types</w:t>
      </w:r>
      <w:r w:rsidRPr="00841F3A">
        <w:rPr>
          <w:rFonts w:ascii="Arial" w:hAnsi="Arial" w:cs="Arial"/>
          <w:lang w:val="en-GB"/>
        </w:rPr>
        <w:t xml:space="preserve"> which are not in line with the </w:t>
      </w:r>
      <w:r w:rsidR="00337045">
        <w:rPr>
          <w:rFonts w:ascii="Arial" w:hAnsi="Arial" w:cs="Arial"/>
          <w:lang w:val="en-GB"/>
        </w:rPr>
        <w:t>RI priorities</w:t>
      </w:r>
      <w:r w:rsidRPr="00841F3A">
        <w:rPr>
          <w:rFonts w:ascii="Arial" w:hAnsi="Arial" w:cs="Arial"/>
          <w:lang w:val="en-GB"/>
        </w:rPr>
        <w:t xml:space="preserve"> on climate change</w:t>
      </w:r>
      <w:r w:rsidR="00337045">
        <w:rPr>
          <w:rFonts w:ascii="Arial" w:hAnsi="Arial" w:cs="Arial"/>
          <w:lang w:val="en-GB"/>
        </w:rPr>
        <w:t>, conflict zones</w:t>
      </w:r>
      <w:r w:rsidRPr="00841F3A">
        <w:rPr>
          <w:rFonts w:ascii="Arial" w:hAnsi="Arial" w:cs="Arial"/>
          <w:lang w:val="en-GB"/>
        </w:rPr>
        <w:t xml:space="preserve"> or the wider ESG parameters</w:t>
      </w:r>
      <w:r w:rsidR="008E21D4" w:rsidRPr="00841F3A">
        <w:rPr>
          <w:rFonts w:ascii="Arial" w:hAnsi="Arial" w:cs="Arial"/>
          <w:lang w:val="en-GB"/>
        </w:rPr>
        <w:t>.</w:t>
      </w:r>
      <w:r w:rsidR="00DC3DF1" w:rsidRPr="00841F3A">
        <w:rPr>
          <w:rFonts w:ascii="Arial" w:hAnsi="Arial" w:cs="Arial"/>
          <w:lang w:val="en-GB"/>
        </w:rPr>
        <w:t xml:space="preserve"> </w:t>
      </w:r>
      <w:r w:rsidR="009F5861">
        <w:rPr>
          <w:rFonts w:ascii="Arial" w:hAnsi="Arial" w:cs="Arial"/>
          <w:lang w:val="en-GB"/>
        </w:rPr>
        <w:t>Since 2016, the</w:t>
      </w:r>
      <w:r w:rsidR="00D2329F">
        <w:rPr>
          <w:rFonts w:ascii="Arial" w:hAnsi="Arial" w:cs="Arial"/>
          <w:lang w:val="en-GB"/>
        </w:rPr>
        <w:t xml:space="preserve"> </w:t>
      </w:r>
      <w:r w:rsidR="00DC3DF1" w:rsidRPr="00841F3A">
        <w:rPr>
          <w:rFonts w:ascii="Arial" w:hAnsi="Arial" w:cs="Arial"/>
          <w:lang w:val="en-GB"/>
        </w:rPr>
        <w:t>Fund</w:t>
      </w:r>
      <w:r w:rsidR="00611141">
        <w:rPr>
          <w:rFonts w:ascii="Arial" w:hAnsi="Arial" w:cs="Arial"/>
          <w:lang w:val="en-GB"/>
        </w:rPr>
        <w:t xml:space="preserve"> has</w:t>
      </w:r>
      <w:r w:rsidR="009F5861">
        <w:rPr>
          <w:rFonts w:ascii="Arial" w:hAnsi="Arial" w:cs="Arial"/>
          <w:lang w:val="en-GB"/>
        </w:rPr>
        <w:t xml:space="preserve"> </w:t>
      </w:r>
      <w:r w:rsidR="00DC3DF1" w:rsidRPr="00841F3A">
        <w:rPr>
          <w:rFonts w:ascii="Arial" w:hAnsi="Arial" w:cs="Arial"/>
          <w:lang w:val="en-GB"/>
        </w:rPr>
        <w:t>committed to having no direct investments in companies with exposure to fossil fuels</w:t>
      </w:r>
      <w:r w:rsidR="009F5861">
        <w:rPr>
          <w:rFonts w:ascii="Arial" w:hAnsi="Arial" w:cs="Arial"/>
          <w:lang w:val="en-GB"/>
        </w:rPr>
        <w:t>, steps have been taken to adapt or replace mandates to enable the achievement of that goal.</w:t>
      </w:r>
    </w:p>
    <w:p w14:paraId="46652CD0" w14:textId="77777777" w:rsidR="00D76F63" w:rsidRPr="00841F3A" w:rsidRDefault="00D76F63" w:rsidP="0032632E">
      <w:pPr>
        <w:pStyle w:val="BodyText"/>
        <w:spacing w:before="1" w:line="242" w:lineRule="auto"/>
        <w:ind w:left="375" w:right="960"/>
        <w:jc w:val="both"/>
        <w:rPr>
          <w:rFonts w:ascii="Arial" w:hAnsi="Arial" w:cs="Arial"/>
          <w:lang w:val="en-GB"/>
        </w:rPr>
      </w:pPr>
    </w:p>
    <w:p w14:paraId="327510C3" w14:textId="3D4F2473" w:rsidR="007131C0" w:rsidRPr="00841F3A" w:rsidRDefault="007131C0" w:rsidP="0032632E">
      <w:pPr>
        <w:pStyle w:val="BodyText"/>
        <w:spacing w:before="1" w:line="242" w:lineRule="auto"/>
        <w:ind w:left="375" w:right="960"/>
        <w:jc w:val="both"/>
        <w:rPr>
          <w:rFonts w:ascii="Arial" w:hAnsi="Arial" w:cs="Arial"/>
          <w:lang w:val="en-GB"/>
        </w:rPr>
      </w:pPr>
      <w:r w:rsidRPr="00841F3A">
        <w:rPr>
          <w:rFonts w:ascii="Arial" w:hAnsi="Arial" w:cs="Arial"/>
          <w:lang w:val="en-GB"/>
        </w:rPr>
        <w:t>Any proposed exclusions assessed in</w:t>
      </w:r>
      <w:r w:rsidR="00D76F63" w:rsidRPr="00841F3A">
        <w:rPr>
          <w:rFonts w:ascii="Arial" w:hAnsi="Arial" w:cs="Arial"/>
          <w:lang w:val="en-GB"/>
        </w:rPr>
        <w:t xml:space="preserve"> </w:t>
      </w:r>
      <w:r w:rsidRPr="00841F3A">
        <w:rPr>
          <w:rFonts w:ascii="Arial" w:hAnsi="Arial" w:cs="Arial"/>
          <w:lang w:val="en-GB"/>
        </w:rPr>
        <w:t xml:space="preserve">the best financial interests of </w:t>
      </w:r>
      <w:r w:rsidR="009F5861">
        <w:rPr>
          <w:rFonts w:ascii="Arial" w:hAnsi="Arial" w:cs="Arial"/>
          <w:lang w:val="en-GB"/>
        </w:rPr>
        <w:t>stakeholders</w:t>
      </w:r>
      <w:r w:rsidR="00D76F63" w:rsidRPr="00841F3A">
        <w:rPr>
          <w:rFonts w:ascii="Arial" w:hAnsi="Arial" w:cs="Arial"/>
          <w:lang w:val="en-GB"/>
        </w:rPr>
        <w:t xml:space="preserve"> </w:t>
      </w:r>
      <w:r w:rsidRPr="00841F3A">
        <w:rPr>
          <w:rFonts w:ascii="Arial" w:hAnsi="Arial" w:cs="Arial"/>
          <w:lang w:val="en-GB"/>
        </w:rPr>
        <w:t xml:space="preserve">require approval by </w:t>
      </w:r>
      <w:r w:rsidR="00AB553E" w:rsidRPr="00841F3A">
        <w:rPr>
          <w:rFonts w:ascii="Arial" w:hAnsi="Arial" w:cs="Arial"/>
          <w:lang w:val="en-GB"/>
        </w:rPr>
        <w:t>PAP</w:t>
      </w:r>
      <w:r w:rsidR="009D13C6" w:rsidRPr="00841F3A">
        <w:rPr>
          <w:rFonts w:ascii="Arial" w:hAnsi="Arial" w:cs="Arial"/>
          <w:lang w:val="en-GB"/>
        </w:rPr>
        <w:t xml:space="preserve">. </w:t>
      </w:r>
      <w:r w:rsidRPr="00841F3A">
        <w:rPr>
          <w:rFonts w:ascii="Arial" w:hAnsi="Arial" w:cs="Arial"/>
          <w:lang w:val="en-GB"/>
        </w:rPr>
        <w:t>These</w:t>
      </w:r>
      <w:r w:rsidR="00D76F63" w:rsidRPr="00841F3A">
        <w:rPr>
          <w:rFonts w:ascii="Arial" w:hAnsi="Arial" w:cs="Arial"/>
          <w:lang w:val="en-GB"/>
        </w:rPr>
        <w:t xml:space="preserve"> </w:t>
      </w:r>
      <w:r w:rsidRPr="00841F3A">
        <w:rPr>
          <w:rFonts w:ascii="Arial" w:hAnsi="Arial" w:cs="Arial"/>
          <w:lang w:val="en-GB"/>
        </w:rPr>
        <w:t>circumstances include:</w:t>
      </w:r>
    </w:p>
    <w:p w14:paraId="5010E394" w14:textId="77777777" w:rsidR="00774608" w:rsidRPr="00841F3A" w:rsidRDefault="00774608" w:rsidP="0032632E">
      <w:pPr>
        <w:pStyle w:val="BodyText"/>
        <w:spacing w:before="1" w:line="242" w:lineRule="auto"/>
        <w:ind w:left="375" w:right="960"/>
        <w:jc w:val="both"/>
        <w:rPr>
          <w:rFonts w:ascii="Arial" w:hAnsi="Arial" w:cs="Arial"/>
          <w:lang w:val="en-GB"/>
        </w:rPr>
      </w:pPr>
    </w:p>
    <w:p w14:paraId="32F77D55" w14:textId="13CEA5C8" w:rsidR="007131C0" w:rsidRPr="00841F3A" w:rsidRDefault="007131C0" w:rsidP="0032632E">
      <w:pPr>
        <w:pStyle w:val="BodyText"/>
        <w:numPr>
          <w:ilvl w:val="0"/>
          <w:numId w:val="7"/>
        </w:numPr>
        <w:spacing w:before="1" w:line="242" w:lineRule="auto"/>
        <w:ind w:right="960"/>
        <w:jc w:val="both"/>
        <w:rPr>
          <w:rFonts w:ascii="Arial" w:hAnsi="Arial" w:cs="Arial"/>
          <w:lang w:val="en-GB"/>
        </w:rPr>
      </w:pPr>
      <w:r w:rsidRPr="00841F3A">
        <w:rPr>
          <w:rFonts w:ascii="Arial" w:hAnsi="Arial" w:cs="Arial"/>
          <w:lang w:val="en-GB"/>
        </w:rPr>
        <w:t>If an</w:t>
      </w:r>
      <w:r w:rsidR="00D76F63" w:rsidRPr="00841F3A">
        <w:rPr>
          <w:rFonts w:ascii="Arial" w:hAnsi="Arial" w:cs="Arial"/>
          <w:lang w:val="en-GB"/>
        </w:rPr>
        <w:t xml:space="preserve"> </w:t>
      </w:r>
      <w:r w:rsidRPr="00841F3A">
        <w:rPr>
          <w:rFonts w:ascii="Arial" w:hAnsi="Arial" w:cs="Arial"/>
          <w:lang w:val="en-GB"/>
        </w:rPr>
        <w:t>investment is inappropriate to the</w:t>
      </w:r>
      <w:r w:rsidR="00D76F63" w:rsidRPr="00841F3A">
        <w:rPr>
          <w:rFonts w:ascii="Arial" w:hAnsi="Arial" w:cs="Arial"/>
          <w:lang w:val="en-GB"/>
        </w:rPr>
        <w:t xml:space="preserve"> </w:t>
      </w:r>
      <w:r w:rsidRPr="00841F3A">
        <w:rPr>
          <w:rFonts w:ascii="Arial" w:hAnsi="Arial" w:cs="Arial"/>
          <w:lang w:val="en-GB"/>
        </w:rPr>
        <w:t>extent that it may have a negative</w:t>
      </w:r>
      <w:r w:rsidR="00D76F63" w:rsidRPr="00841F3A">
        <w:rPr>
          <w:rFonts w:ascii="Arial" w:hAnsi="Arial" w:cs="Arial"/>
          <w:lang w:val="en-GB"/>
        </w:rPr>
        <w:t xml:space="preserve"> </w:t>
      </w:r>
      <w:r w:rsidRPr="00841F3A">
        <w:rPr>
          <w:rFonts w:ascii="Arial" w:hAnsi="Arial" w:cs="Arial"/>
          <w:lang w:val="en-GB"/>
        </w:rPr>
        <w:t>impact on the Fund’s long-term</w:t>
      </w:r>
      <w:r w:rsidR="00D76F63" w:rsidRPr="00841F3A">
        <w:rPr>
          <w:rFonts w:ascii="Arial" w:hAnsi="Arial" w:cs="Arial"/>
          <w:lang w:val="en-GB"/>
        </w:rPr>
        <w:t xml:space="preserve"> </w:t>
      </w:r>
      <w:r w:rsidR="00CA6F66">
        <w:rPr>
          <w:rFonts w:ascii="Arial" w:hAnsi="Arial" w:cs="Arial"/>
          <w:lang w:val="en-GB"/>
        </w:rPr>
        <w:t xml:space="preserve">investment </w:t>
      </w:r>
      <w:r w:rsidRPr="00841F3A">
        <w:rPr>
          <w:rFonts w:ascii="Arial" w:hAnsi="Arial" w:cs="Arial"/>
          <w:lang w:val="en-GB"/>
        </w:rPr>
        <w:t>return objective.</w:t>
      </w:r>
    </w:p>
    <w:p w14:paraId="5B8FF42D" w14:textId="77777777" w:rsidR="007131C0" w:rsidRPr="00841F3A" w:rsidRDefault="007131C0" w:rsidP="0032632E">
      <w:pPr>
        <w:pStyle w:val="BodyText"/>
        <w:numPr>
          <w:ilvl w:val="0"/>
          <w:numId w:val="7"/>
        </w:numPr>
        <w:spacing w:before="1" w:line="242" w:lineRule="auto"/>
        <w:ind w:right="960"/>
        <w:jc w:val="both"/>
        <w:rPr>
          <w:rFonts w:ascii="Arial" w:hAnsi="Arial" w:cs="Arial"/>
          <w:lang w:val="en-GB"/>
        </w:rPr>
      </w:pPr>
      <w:r w:rsidRPr="00841F3A">
        <w:rPr>
          <w:rFonts w:ascii="Arial" w:hAnsi="Arial" w:cs="Arial"/>
          <w:lang w:val="en-GB"/>
        </w:rPr>
        <w:t>If an</w:t>
      </w:r>
      <w:r w:rsidR="00D76F63" w:rsidRPr="00841F3A">
        <w:rPr>
          <w:rFonts w:ascii="Arial" w:hAnsi="Arial" w:cs="Arial"/>
          <w:lang w:val="en-GB"/>
        </w:rPr>
        <w:t xml:space="preserve"> </w:t>
      </w:r>
      <w:r w:rsidRPr="00841F3A">
        <w:rPr>
          <w:rFonts w:ascii="Arial" w:hAnsi="Arial" w:cs="Arial"/>
          <w:lang w:val="en-GB"/>
        </w:rPr>
        <w:t>investment is inappropriate to the</w:t>
      </w:r>
      <w:r w:rsidR="00D76F63" w:rsidRPr="00841F3A">
        <w:rPr>
          <w:rFonts w:ascii="Arial" w:hAnsi="Arial" w:cs="Arial"/>
          <w:lang w:val="en-GB"/>
        </w:rPr>
        <w:t xml:space="preserve"> </w:t>
      </w:r>
      <w:r w:rsidRPr="00841F3A">
        <w:rPr>
          <w:rFonts w:ascii="Arial" w:hAnsi="Arial" w:cs="Arial"/>
          <w:lang w:val="en-GB"/>
        </w:rPr>
        <w:t>extent that it may have a material</w:t>
      </w:r>
      <w:r w:rsidR="00D76F63" w:rsidRPr="00841F3A">
        <w:rPr>
          <w:rFonts w:ascii="Arial" w:hAnsi="Arial" w:cs="Arial"/>
          <w:lang w:val="en-GB"/>
        </w:rPr>
        <w:t xml:space="preserve"> </w:t>
      </w:r>
      <w:r w:rsidRPr="00841F3A">
        <w:rPr>
          <w:rFonts w:ascii="Arial" w:hAnsi="Arial" w:cs="Arial"/>
          <w:lang w:val="en-GB"/>
        </w:rPr>
        <w:t>negative impact on the Fund’s</w:t>
      </w:r>
      <w:r w:rsidR="00D76F63" w:rsidRPr="00841F3A">
        <w:rPr>
          <w:rFonts w:ascii="Arial" w:hAnsi="Arial" w:cs="Arial"/>
          <w:lang w:val="en-GB"/>
        </w:rPr>
        <w:t xml:space="preserve"> </w:t>
      </w:r>
      <w:r w:rsidRPr="00841F3A">
        <w:rPr>
          <w:rFonts w:ascii="Arial" w:hAnsi="Arial" w:cs="Arial"/>
          <w:lang w:val="en-GB"/>
        </w:rPr>
        <w:t>reputation.</w:t>
      </w:r>
    </w:p>
    <w:p w14:paraId="3C975B6F" w14:textId="77777777" w:rsidR="007131C0" w:rsidRPr="00841F3A" w:rsidRDefault="007131C0" w:rsidP="0032632E">
      <w:pPr>
        <w:pStyle w:val="BodyText"/>
        <w:numPr>
          <w:ilvl w:val="0"/>
          <w:numId w:val="7"/>
        </w:numPr>
        <w:spacing w:before="1" w:line="242" w:lineRule="auto"/>
        <w:ind w:right="960"/>
        <w:jc w:val="both"/>
        <w:rPr>
          <w:rFonts w:ascii="Arial" w:hAnsi="Arial" w:cs="Arial"/>
          <w:lang w:val="en-GB"/>
        </w:rPr>
      </w:pPr>
      <w:r w:rsidRPr="00841F3A">
        <w:rPr>
          <w:rFonts w:ascii="Arial" w:hAnsi="Arial" w:cs="Arial"/>
          <w:lang w:val="en-GB"/>
        </w:rPr>
        <w:t>If the investment would lead to</w:t>
      </w:r>
      <w:r w:rsidR="00D76F63" w:rsidRPr="00841F3A">
        <w:rPr>
          <w:rFonts w:ascii="Arial" w:hAnsi="Arial" w:cs="Arial"/>
          <w:lang w:val="en-GB"/>
        </w:rPr>
        <w:t xml:space="preserve"> </w:t>
      </w:r>
      <w:r w:rsidRPr="00841F3A">
        <w:rPr>
          <w:rFonts w:ascii="Arial" w:hAnsi="Arial" w:cs="Arial"/>
          <w:lang w:val="en-GB"/>
        </w:rPr>
        <w:t>contravention of international</w:t>
      </w:r>
      <w:r w:rsidR="00D76F63" w:rsidRPr="00841F3A">
        <w:rPr>
          <w:rFonts w:ascii="Arial" w:hAnsi="Arial" w:cs="Arial"/>
          <w:lang w:val="en-GB"/>
        </w:rPr>
        <w:t xml:space="preserve"> </w:t>
      </w:r>
      <w:r w:rsidRPr="00841F3A">
        <w:rPr>
          <w:rFonts w:ascii="Arial" w:hAnsi="Arial" w:cs="Arial"/>
          <w:lang w:val="en-GB"/>
        </w:rPr>
        <w:t>treaties or conventions.</w:t>
      </w:r>
    </w:p>
    <w:p w14:paraId="159B792F" w14:textId="513E91CB" w:rsidR="007131C0" w:rsidRPr="00841F3A" w:rsidRDefault="00774608" w:rsidP="0032632E">
      <w:pPr>
        <w:pStyle w:val="BodyText"/>
        <w:numPr>
          <w:ilvl w:val="0"/>
          <w:numId w:val="7"/>
        </w:numPr>
        <w:spacing w:before="1" w:line="242" w:lineRule="auto"/>
        <w:ind w:right="960"/>
        <w:jc w:val="both"/>
        <w:rPr>
          <w:rFonts w:ascii="Arial" w:hAnsi="Arial" w:cs="Arial"/>
          <w:lang w:val="en-GB"/>
        </w:rPr>
      </w:pPr>
      <w:r w:rsidRPr="00841F3A">
        <w:rPr>
          <w:rFonts w:ascii="Arial" w:hAnsi="Arial" w:cs="Arial"/>
          <w:lang w:val="en-GB"/>
        </w:rPr>
        <w:t>I</w:t>
      </w:r>
      <w:r w:rsidR="007131C0" w:rsidRPr="00841F3A">
        <w:rPr>
          <w:rFonts w:ascii="Arial" w:hAnsi="Arial" w:cs="Arial"/>
          <w:lang w:val="en-GB"/>
        </w:rPr>
        <w:t>n cases where it is deemed not</w:t>
      </w:r>
      <w:r w:rsidR="00D76F63" w:rsidRPr="00841F3A">
        <w:rPr>
          <w:rFonts w:ascii="Arial" w:hAnsi="Arial" w:cs="Arial"/>
          <w:lang w:val="en-GB"/>
        </w:rPr>
        <w:t xml:space="preserve"> </w:t>
      </w:r>
      <w:r w:rsidR="007131C0" w:rsidRPr="00841F3A">
        <w:rPr>
          <w:rFonts w:ascii="Arial" w:hAnsi="Arial" w:cs="Arial"/>
          <w:lang w:val="en-GB"/>
        </w:rPr>
        <w:t>possible to influence a company</w:t>
      </w:r>
      <w:r w:rsidR="00D76F63" w:rsidRPr="00841F3A">
        <w:rPr>
          <w:rFonts w:ascii="Arial" w:hAnsi="Arial" w:cs="Arial"/>
          <w:lang w:val="en-GB"/>
        </w:rPr>
        <w:t xml:space="preserve"> </w:t>
      </w:r>
      <w:r w:rsidR="007131C0" w:rsidRPr="00841F3A">
        <w:rPr>
          <w:rFonts w:ascii="Arial" w:hAnsi="Arial" w:cs="Arial"/>
          <w:lang w:val="en-GB"/>
        </w:rPr>
        <w:t>through engagement or proxy</w:t>
      </w:r>
      <w:r w:rsidR="00D76F63" w:rsidRPr="00841F3A">
        <w:rPr>
          <w:rFonts w:ascii="Arial" w:hAnsi="Arial" w:cs="Arial"/>
          <w:lang w:val="en-GB"/>
        </w:rPr>
        <w:t xml:space="preserve"> </w:t>
      </w:r>
      <w:r w:rsidR="007131C0" w:rsidRPr="00841F3A">
        <w:rPr>
          <w:rFonts w:ascii="Arial" w:hAnsi="Arial" w:cs="Arial"/>
          <w:lang w:val="en-GB"/>
        </w:rPr>
        <w:t>voting.</w:t>
      </w:r>
    </w:p>
    <w:p w14:paraId="686BE9F7" w14:textId="0EFBA50A" w:rsidR="008E21D4" w:rsidRPr="00841F3A" w:rsidRDefault="008E21D4" w:rsidP="0032632E">
      <w:pPr>
        <w:pStyle w:val="BodyText"/>
        <w:spacing w:before="1" w:line="242" w:lineRule="auto"/>
        <w:ind w:left="375" w:right="960"/>
        <w:jc w:val="both"/>
        <w:rPr>
          <w:rFonts w:ascii="Arial" w:hAnsi="Arial" w:cs="Arial"/>
          <w:lang w:val="en-GB"/>
        </w:rPr>
      </w:pPr>
    </w:p>
    <w:p w14:paraId="212F9C79" w14:textId="714F4A38" w:rsidR="00C121E6" w:rsidRDefault="008E21D4" w:rsidP="0032632E">
      <w:pPr>
        <w:pStyle w:val="BodyText"/>
        <w:spacing w:before="1" w:line="242" w:lineRule="auto"/>
        <w:ind w:left="375" w:right="960"/>
        <w:jc w:val="both"/>
        <w:rPr>
          <w:rFonts w:ascii="Arial" w:hAnsi="Arial" w:cs="Arial"/>
          <w:lang w:val="en-GB"/>
        </w:rPr>
      </w:pPr>
      <w:r w:rsidRPr="00841F3A">
        <w:rPr>
          <w:rFonts w:ascii="Arial" w:hAnsi="Arial" w:cs="Arial"/>
          <w:lang w:val="en-GB"/>
        </w:rPr>
        <w:t xml:space="preserve">The Fund </w:t>
      </w:r>
      <w:r w:rsidR="00684CF3" w:rsidRPr="00841F3A">
        <w:rPr>
          <w:rFonts w:ascii="Arial" w:hAnsi="Arial" w:cs="Arial"/>
          <w:lang w:val="en-GB"/>
        </w:rPr>
        <w:t>will exclude assets in</w:t>
      </w:r>
      <w:r w:rsidRPr="00841F3A">
        <w:rPr>
          <w:rFonts w:ascii="Arial" w:hAnsi="Arial" w:cs="Arial"/>
          <w:lang w:val="en-GB"/>
        </w:rPr>
        <w:t xml:space="preserve"> sectors like oil &amp; gas, mining or tobacco</w:t>
      </w:r>
      <w:r w:rsidR="00D66C8E">
        <w:rPr>
          <w:rFonts w:ascii="Arial" w:hAnsi="Arial" w:cs="Arial"/>
          <w:lang w:val="en-GB"/>
        </w:rPr>
        <w:t xml:space="preserve"> and other sectors as determined</w:t>
      </w:r>
      <w:r w:rsidR="00687656">
        <w:rPr>
          <w:rFonts w:ascii="Arial" w:hAnsi="Arial" w:cs="Arial"/>
          <w:lang w:val="en-GB"/>
        </w:rPr>
        <w:t xml:space="preserve"> from time-to-time depending on evolving RI priorities</w:t>
      </w:r>
      <w:r w:rsidRPr="00841F3A">
        <w:rPr>
          <w:rFonts w:ascii="Arial" w:hAnsi="Arial" w:cs="Arial"/>
          <w:lang w:val="en-GB"/>
        </w:rPr>
        <w:t xml:space="preserve">. </w:t>
      </w:r>
    </w:p>
    <w:p w14:paraId="268F968B" w14:textId="77777777" w:rsidR="00C121E6" w:rsidRDefault="00C121E6" w:rsidP="0032632E">
      <w:pPr>
        <w:pStyle w:val="BodyText"/>
        <w:spacing w:before="1" w:line="242" w:lineRule="auto"/>
        <w:ind w:left="375" w:right="960"/>
        <w:jc w:val="both"/>
        <w:rPr>
          <w:rFonts w:ascii="Arial" w:hAnsi="Arial" w:cs="Arial"/>
          <w:lang w:val="en-GB"/>
        </w:rPr>
      </w:pPr>
    </w:p>
    <w:p w14:paraId="524CF289" w14:textId="16E3A171" w:rsidR="00D21530" w:rsidRDefault="00C121E6" w:rsidP="0032632E">
      <w:pPr>
        <w:pStyle w:val="BodyText"/>
        <w:spacing w:before="1" w:line="242" w:lineRule="auto"/>
        <w:ind w:left="375" w:right="960"/>
        <w:jc w:val="both"/>
        <w:rPr>
          <w:rFonts w:ascii="Arial" w:hAnsi="Arial" w:cs="Arial"/>
          <w:lang w:val="en-GB"/>
        </w:rPr>
      </w:pPr>
      <w:r>
        <w:rPr>
          <w:rFonts w:ascii="Arial" w:hAnsi="Arial" w:cs="Arial"/>
          <w:lang w:val="en-GB"/>
        </w:rPr>
        <w:t>For the purposes of exclusions, currently the Fund considers only direct operations of companies</w:t>
      </w:r>
      <w:r w:rsidR="00D21530">
        <w:rPr>
          <w:rFonts w:ascii="Arial" w:hAnsi="Arial" w:cs="Arial"/>
          <w:lang w:val="en-GB"/>
        </w:rPr>
        <w:t xml:space="preserve">. Extended value chain/suppliers are not considered </w:t>
      </w:r>
      <w:r w:rsidR="00580D70">
        <w:rPr>
          <w:rFonts w:ascii="Arial" w:hAnsi="Arial" w:cs="Arial"/>
          <w:lang w:val="en-GB"/>
        </w:rPr>
        <w:t>at this stage</w:t>
      </w:r>
      <w:r w:rsidR="00D21530">
        <w:rPr>
          <w:rFonts w:ascii="Arial" w:hAnsi="Arial" w:cs="Arial"/>
          <w:lang w:val="en-GB"/>
        </w:rPr>
        <w:t>.</w:t>
      </w:r>
    </w:p>
    <w:p w14:paraId="01142962" w14:textId="77777777" w:rsidR="00580D70" w:rsidRDefault="00580D70" w:rsidP="0032632E">
      <w:pPr>
        <w:pStyle w:val="BodyText"/>
        <w:spacing w:before="1" w:line="242" w:lineRule="auto"/>
        <w:ind w:left="375" w:right="960"/>
        <w:jc w:val="both"/>
        <w:rPr>
          <w:rFonts w:ascii="Arial" w:hAnsi="Arial" w:cs="Arial"/>
          <w:lang w:val="en-GB"/>
        </w:rPr>
      </w:pPr>
    </w:p>
    <w:p w14:paraId="5538AB2C" w14:textId="468CFDDF" w:rsidR="00580D70" w:rsidRDefault="00580D70" w:rsidP="0032632E">
      <w:pPr>
        <w:pStyle w:val="BodyText"/>
        <w:spacing w:before="1" w:line="242" w:lineRule="auto"/>
        <w:ind w:left="375" w:right="960"/>
        <w:jc w:val="both"/>
        <w:rPr>
          <w:rFonts w:ascii="Arial" w:hAnsi="Arial" w:cs="Arial"/>
          <w:lang w:val="en-GB"/>
        </w:rPr>
      </w:pPr>
      <w:r>
        <w:rPr>
          <w:rFonts w:ascii="Arial" w:hAnsi="Arial" w:cs="Arial"/>
          <w:lang w:val="en-GB"/>
        </w:rPr>
        <w:t xml:space="preserve">The Fund will continue to monitor the exclusions criteria on an ongoing basis to </w:t>
      </w:r>
      <w:r w:rsidR="004468D6">
        <w:rPr>
          <w:rFonts w:ascii="Arial" w:hAnsi="Arial" w:cs="Arial"/>
          <w:lang w:val="en-GB"/>
        </w:rPr>
        <w:t xml:space="preserve">consider global RI-focused issues that might have an impact </w:t>
      </w:r>
      <w:r w:rsidR="00092D03">
        <w:rPr>
          <w:rFonts w:ascii="Arial" w:hAnsi="Arial" w:cs="Arial"/>
          <w:lang w:val="en-GB"/>
        </w:rPr>
        <w:t>on the</w:t>
      </w:r>
      <w:r w:rsidR="004468D6">
        <w:rPr>
          <w:rFonts w:ascii="Arial" w:hAnsi="Arial" w:cs="Arial"/>
          <w:lang w:val="en-GB"/>
        </w:rPr>
        <w:t xml:space="preserve"> portfolio</w:t>
      </w:r>
      <w:r w:rsidR="00092D03">
        <w:rPr>
          <w:rFonts w:ascii="Arial" w:hAnsi="Arial" w:cs="Arial"/>
          <w:lang w:val="en-GB"/>
        </w:rPr>
        <w:t xml:space="preserve"> and performance.</w:t>
      </w:r>
      <w:r w:rsidR="004468D6">
        <w:rPr>
          <w:rFonts w:ascii="Arial" w:hAnsi="Arial" w:cs="Arial"/>
          <w:lang w:val="en-GB"/>
        </w:rPr>
        <w:t xml:space="preserve"> </w:t>
      </w:r>
    </w:p>
    <w:p w14:paraId="2563166C" w14:textId="4E7AA65C" w:rsidR="00C121E6" w:rsidRDefault="00D21530" w:rsidP="0032632E">
      <w:pPr>
        <w:pStyle w:val="BodyText"/>
        <w:spacing w:before="1" w:line="242" w:lineRule="auto"/>
        <w:ind w:left="375" w:right="960"/>
        <w:jc w:val="both"/>
        <w:rPr>
          <w:rFonts w:ascii="Arial" w:hAnsi="Arial" w:cs="Arial"/>
          <w:lang w:val="en-GB"/>
        </w:rPr>
      </w:pPr>
      <w:r>
        <w:rPr>
          <w:rFonts w:ascii="Arial" w:hAnsi="Arial" w:cs="Arial"/>
          <w:lang w:val="en-GB"/>
        </w:rPr>
        <w:t xml:space="preserve"> </w:t>
      </w:r>
    </w:p>
    <w:p w14:paraId="32B8CC85" w14:textId="01B07D46" w:rsidR="0074365E" w:rsidRDefault="009D456D" w:rsidP="0032632E">
      <w:pPr>
        <w:pStyle w:val="BodyText"/>
        <w:spacing w:before="1" w:line="242" w:lineRule="auto"/>
        <w:ind w:left="375" w:right="960"/>
        <w:jc w:val="both"/>
        <w:rPr>
          <w:rFonts w:ascii="Arial" w:hAnsi="Arial" w:cs="Arial"/>
          <w:lang w:val="en-GB"/>
        </w:rPr>
      </w:pPr>
      <w:r>
        <w:rPr>
          <w:rFonts w:ascii="Arial" w:hAnsi="Arial" w:cs="Arial"/>
          <w:lang w:val="en-GB"/>
        </w:rPr>
        <w:t xml:space="preserve">Any exclusions </w:t>
      </w:r>
      <w:r w:rsidR="00C617C8">
        <w:rPr>
          <w:rFonts w:ascii="Arial" w:hAnsi="Arial" w:cs="Arial"/>
          <w:lang w:val="en-GB"/>
        </w:rPr>
        <w:t xml:space="preserve">set by the Fund </w:t>
      </w:r>
      <w:r>
        <w:rPr>
          <w:rFonts w:ascii="Arial" w:hAnsi="Arial" w:cs="Arial"/>
          <w:lang w:val="en-GB"/>
        </w:rPr>
        <w:t>will be implemented by LCIV</w:t>
      </w:r>
      <w:r w:rsidR="0055192E">
        <w:rPr>
          <w:rFonts w:ascii="Arial" w:hAnsi="Arial" w:cs="Arial"/>
          <w:lang w:val="en-GB"/>
        </w:rPr>
        <w:t xml:space="preserve">, </w:t>
      </w:r>
      <w:r w:rsidR="003D4752">
        <w:rPr>
          <w:rFonts w:ascii="Arial" w:hAnsi="Arial" w:cs="Arial"/>
          <w:lang w:val="en-GB"/>
        </w:rPr>
        <w:t>where they are covered in pillar three of LCIV’s RI matrix</w:t>
      </w:r>
      <w:r w:rsidR="00A84565">
        <w:rPr>
          <w:rFonts w:ascii="Arial" w:hAnsi="Arial" w:cs="Arial"/>
          <w:lang w:val="en-GB"/>
        </w:rPr>
        <w:t xml:space="preserve"> (</w:t>
      </w:r>
      <w:r w:rsidR="003D4752">
        <w:rPr>
          <w:rFonts w:ascii="Arial" w:hAnsi="Arial" w:cs="Arial"/>
          <w:lang w:val="en-GB"/>
        </w:rPr>
        <w:t>as set out later in this policy</w:t>
      </w:r>
      <w:r w:rsidR="00A84565">
        <w:rPr>
          <w:rFonts w:ascii="Arial" w:hAnsi="Arial" w:cs="Arial"/>
          <w:lang w:val="en-GB"/>
        </w:rPr>
        <w:t>)</w:t>
      </w:r>
      <w:r w:rsidR="003D4752">
        <w:rPr>
          <w:rFonts w:ascii="Arial" w:hAnsi="Arial" w:cs="Arial"/>
          <w:lang w:val="en-GB"/>
        </w:rPr>
        <w:t>.</w:t>
      </w:r>
    </w:p>
    <w:p w14:paraId="1F3E6672" w14:textId="77777777" w:rsidR="00AC24BF" w:rsidRDefault="00AC24BF" w:rsidP="0032632E">
      <w:pPr>
        <w:pStyle w:val="BodyText"/>
        <w:spacing w:before="1" w:line="242" w:lineRule="auto"/>
        <w:ind w:left="375" w:right="960"/>
        <w:jc w:val="both"/>
        <w:rPr>
          <w:rFonts w:ascii="Arial" w:hAnsi="Arial" w:cs="Arial"/>
          <w:lang w:val="en-GB"/>
        </w:rPr>
      </w:pPr>
    </w:p>
    <w:p w14:paraId="69A6A385" w14:textId="77777777" w:rsidR="0074365E" w:rsidRDefault="0074365E" w:rsidP="0032632E">
      <w:pPr>
        <w:pStyle w:val="BodyText"/>
        <w:spacing w:before="1" w:line="242" w:lineRule="auto"/>
        <w:ind w:left="375" w:right="960"/>
        <w:jc w:val="both"/>
        <w:rPr>
          <w:rFonts w:ascii="Arial" w:hAnsi="Arial" w:cs="Arial"/>
          <w:lang w:val="en-GB"/>
        </w:rPr>
      </w:pPr>
    </w:p>
    <w:p w14:paraId="65D24959" w14:textId="66BDD5BE" w:rsidR="005B0103" w:rsidRPr="00A32857" w:rsidRDefault="005B0103" w:rsidP="0032632E">
      <w:pPr>
        <w:pStyle w:val="BodyText"/>
        <w:numPr>
          <w:ilvl w:val="1"/>
          <w:numId w:val="8"/>
        </w:numPr>
        <w:spacing w:before="1" w:after="240" w:line="242" w:lineRule="auto"/>
        <w:ind w:right="960"/>
        <w:jc w:val="both"/>
        <w:rPr>
          <w:rFonts w:ascii="Arial" w:hAnsi="Arial" w:cs="Arial"/>
          <w:lang w:val="nb-NO"/>
        </w:rPr>
      </w:pPr>
      <w:r w:rsidRPr="00A32857">
        <w:rPr>
          <w:rFonts w:ascii="Arial" w:hAnsi="Arial" w:cs="Arial"/>
          <w:b/>
          <w:bCs/>
          <w:w w:val="105"/>
          <w:lang w:val="nb-NO"/>
        </w:rPr>
        <w:t xml:space="preserve">Private Markets and </w:t>
      </w:r>
      <w:r w:rsidRPr="005B0103">
        <w:rPr>
          <w:rFonts w:ascii="Arial" w:hAnsi="Arial" w:cs="Arial"/>
          <w:b/>
          <w:bCs/>
          <w:w w:val="105"/>
          <w:lang w:val="nb-NO"/>
        </w:rPr>
        <w:t>Sovereign</w:t>
      </w:r>
      <w:r w:rsidRPr="00A32857">
        <w:rPr>
          <w:rFonts w:ascii="Arial" w:hAnsi="Arial" w:cs="Arial"/>
          <w:b/>
          <w:bCs/>
          <w:w w:val="105"/>
          <w:lang w:val="nb-NO"/>
        </w:rPr>
        <w:t xml:space="preserve"> </w:t>
      </w:r>
      <w:r w:rsidRPr="005B0103">
        <w:rPr>
          <w:rFonts w:ascii="Arial" w:hAnsi="Arial" w:cs="Arial"/>
          <w:b/>
          <w:bCs/>
          <w:w w:val="105"/>
          <w:lang w:val="nb-NO"/>
        </w:rPr>
        <w:t>I</w:t>
      </w:r>
      <w:r>
        <w:rPr>
          <w:rFonts w:ascii="Arial" w:hAnsi="Arial" w:cs="Arial"/>
          <w:b/>
          <w:bCs/>
          <w:w w:val="105"/>
          <w:lang w:val="nb-NO"/>
        </w:rPr>
        <w:t xml:space="preserve">nvestments </w:t>
      </w:r>
    </w:p>
    <w:p w14:paraId="5746E072" w14:textId="5D61B8E1" w:rsidR="00F5771B" w:rsidRPr="00F5771B" w:rsidRDefault="00F5771B" w:rsidP="0032632E">
      <w:pPr>
        <w:pStyle w:val="BodyText"/>
        <w:spacing w:before="1" w:after="240" w:line="242" w:lineRule="auto"/>
        <w:ind w:left="375" w:right="960"/>
        <w:jc w:val="both"/>
        <w:rPr>
          <w:rFonts w:ascii="Arial" w:hAnsi="Arial" w:cs="Arial"/>
          <w:lang w:val="en-GB"/>
        </w:rPr>
      </w:pPr>
      <w:r w:rsidRPr="00F5771B">
        <w:rPr>
          <w:rFonts w:ascii="Arial" w:hAnsi="Arial" w:cs="Arial"/>
          <w:lang w:val="en-GB"/>
        </w:rPr>
        <w:lastRenderedPageBreak/>
        <w:t xml:space="preserve">Private market investments, such as private </w:t>
      </w:r>
      <w:r w:rsidR="00C617C8">
        <w:rPr>
          <w:rFonts w:ascii="Arial" w:hAnsi="Arial" w:cs="Arial"/>
          <w:lang w:val="en-GB"/>
        </w:rPr>
        <w:t>equity</w:t>
      </w:r>
      <w:r w:rsidRPr="00F5771B">
        <w:rPr>
          <w:rFonts w:ascii="Arial" w:hAnsi="Arial" w:cs="Arial"/>
          <w:lang w:val="en-GB"/>
        </w:rPr>
        <w:t xml:space="preserve">, can be less liquid and offer limited transparency compared to public markets. To manage these risks, we expect </w:t>
      </w:r>
      <w:r>
        <w:rPr>
          <w:rFonts w:ascii="Arial" w:hAnsi="Arial" w:cs="Arial"/>
          <w:lang w:val="en-GB"/>
        </w:rPr>
        <w:t>our investment managers</w:t>
      </w:r>
      <w:r w:rsidR="008B44A2">
        <w:rPr>
          <w:rFonts w:ascii="Arial" w:hAnsi="Arial" w:cs="Arial"/>
          <w:lang w:val="en-GB"/>
        </w:rPr>
        <w:t xml:space="preserve">, including LCIV, </w:t>
      </w:r>
      <w:r w:rsidRPr="00F5771B">
        <w:rPr>
          <w:rFonts w:ascii="Arial" w:hAnsi="Arial" w:cs="Arial"/>
          <w:lang w:val="en-GB"/>
        </w:rPr>
        <w:t>to ensure that underlying managers integrate ESG considerations into their strategy and underwriting processes, and to agree clear guidelines or parameters. The Fund will monitor adherence to these commitments and expects RI-related commentary within regular reporting</w:t>
      </w:r>
      <w:r w:rsidR="00601340">
        <w:rPr>
          <w:rFonts w:ascii="Arial" w:hAnsi="Arial" w:cs="Arial"/>
          <w:lang w:val="en-GB"/>
        </w:rPr>
        <w:t>, including from LCIV</w:t>
      </w:r>
      <w:r w:rsidRPr="00F5771B">
        <w:rPr>
          <w:rFonts w:ascii="Arial" w:hAnsi="Arial" w:cs="Arial"/>
          <w:lang w:val="en-GB"/>
        </w:rPr>
        <w:t>.</w:t>
      </w:r>
    </w:p>
    <w:p w14:paraId="26668EA1" w14:textId="23B5175F" w:rsidR="00B10E13" w:rsidRPr="00B10E13" w:rsidRDefault="00F5771B" w:rsidP="0032632E">
      <w:pPr>
        <w:pStyle w:val="BodyText"/>
        <w:spacing w:before="1" w:line="242" w:lineRule="auto"/>
        <w:ind w:left="375" w:right="960"/>
        <w:jc w:val="both"/>
        <w:rPr>
          <w:rFonts w:ascii="Arial" w:hAnsi="Arial" w:cs="Arial"/>
          <w:lang w:val="en-GB"/>
        </w:rPr>
      </w:pPr>
      <w:r w:rsidRPr="00F5771B">
        <w:rPr>
          <w:rFonts w:ascii="Arial" w:hAnsi="Arial" w:cs="Arial"/>
          <w:lang w:val="en-GB"/>
        </w:rPr>
        <w:t>For sovereign investments, including government bonds, ESG risks may arise from issues such as climate change, nature loss, human rights, or conflict. We expect investment managers</w:t>
      </w:r>
      <w:r w:rsidR="00092D03">
        <w:rPr>
          <w:rFonts w:ascii="Arial" w:hAnsi="Arial" w:cs="Arial"/>
          <w:lang w:val="en-GB"/>
        </w:rPr>
        <w:t>/LCIV</w:t>
      </w:r>
      <w:r w:rsidRPr="00F5771B">
        <w:rPr>
          <w:rFonts w:ascii="Arial" w:hAnsi="Arial" w:cs="Arial"/>
          <w:lang w:val="en-GB"/>
        </w:rPr>
        <w:t xml:space="preserve"> to assess these risks and, where possible, engage through recognised sovereign engagement frameworks</w:t>
      </w:r>
      <w:r w:rsidR="00DE159C">
        <w:rPr>
          <w:rFonts w:ascii="Arial" w:hAnsi="Arial" w:cs="Arial"/>
          <w:lang w:val="en-GB"/>
        </w:rPr>
        <w:t>, e.g. P</w:t>
      </w:r>
      <w:r w:rsidR="00BB5E1B">
        <w:rPr>
          <w:rFonts w:ascii="Arial" w:hAnsi="Arial" w:cs="Arial"/>
          <w:lang w:val="en-GB"/>
        </w:rPr>
        <w:t xml:space="preserve">rinciples for </w:t>
      </w:r>
      <w:r w:rsidR="00DE159C">
        <w:rPr>
          <w:rFonts w:ascii="Arial" w:hAnsi="Arial" w:cs="Arial"/>
          <w:lang w:val="en-GB"/>
        </w:rPr>
        <w:t>R</w:t>
      </w:r>
      <w:r w:rsidR="00BB5E1B">
        <w:rPr>
          <w:rFonts w:ascii="Arial" w:hAnsi="Arial" w:cs="Arial"/>
          <w:lang w:val="en-GB"/>
        </w:rPr>
        <w:t xml:space="preserve">esponsible </w:t>
      </w:r>
      <w:r w:rsidR="00DE159C">
        <w:rPr>
          <w:rFonts w:ascii="Arial" w:hAnsi="Arial" w:cs="Arial"/>
          <w:lang w:val="en-GB"/>
        </w:rPr>
        <w:t>I</w:t>
      </w:r>
      <w:r w:rsidR="00BB5E1B">
        <w:rPr>
          <w:rFonts w:ascii="Arial" w:hAnsi="Arial" w:cs="Arial"/>
          <w:lang w:val="en-GB"/>
        </w:rPr>
        <w:t>nvestment</w:t>
      </w:r>
      <w:r w:rsidR="00DE159C">
        <w:rPr>
          <w:rFonts w:ascii="Arial" w:hAnsi="Arial" w:cs="Arial"/>
          <w:lang w:val="en-GB"/>
        </w:rPr>
        <w:t xml:space="preserve"> </w:t>
      </w:r>
      <w:r w:rsidR="00B10E13" w:rsidRPr="00B10E13">
        <w:rPr>
          <w:rFonts w:ascii="Arial" w:hAnsi="Arial" w:cs="Arial"/>
          <w:lang w:val="en-GB"/>
        </w:rPr>
        <w:t>Sovereign Engagement Guidance</w:t>
      </w:r>
      <w:r w:rsidR="00B10E13">
        <w:rPr>
          <w:rFonts w:ascii="Arial" w:hAnsi="Arial" w:cs="Arial"/>
          <w:lang w:val="en-GB"/>
        </w:rPr>
        <w:t>.</w:t>
      </w:r>
    </w:p>
    <w:p w14:paraId="66F73138" w14:textId="417010A4" w:rsidR="008E21D4" w:rsidRPr="00841F3A" w:rsidRDefault="008E21D4" w:rsidP="0032632E">
      <w:pPr>
        <w:pStyle w:val="BodyText"/>
        <w:spacing w:before="1" w:line="242" w:lineRule="auto"/>
        <w:ind w:left="375" w:right="960"/>
        <w:jc w:val="both"/>
        <w:rPr>
          <w:rFonts w:ascii="Arial" w:hAnsi="Arial" w:cs="Arial"/>
          <w:lang w:val="en-GB"/>
        </w:rPr>
      </w:pPr>
      <w:r w:rsidRPr="00841F3A">
        <w:rPr>
          <w:rFonts w:ascii="Arial" w:hAnsi="Arial" w:cs="Arial"/>
          <w:lang w:val="en-GB"/>
        </w:rPr>
        <w:t xml:space="preserve"> </w:t>
      </w:r>
    </w:p>
    <w:p w14:paraId="67058D17" w14:textId="49FCFFD3" w:rsidR="00D76F63" w:rsidRPr="00841F3A" w:rsidRDefault="00D76F63" w:rsidP="0032632E">
      <w:pPr>
        <w:pStyle w:val="BodyText"/>
        <w:numPr>
          <w:ilvl w:val="0"/>
          <w:numId w:val="10"/>
        </w:numPr>
        <w:spacing w:before="1" w:after="240" w:line="242" w:lineRule="auto"/>
        <w:ind w:left="709" w:right="960" w:hanging="283"/>
        <w:jc w:val="both"/>
        <w:rPr>
          <w:rFonts w:ascii="Arial" w:hAnsi="Arial" w:cs="Arial"/>
          <w:lang w:val="en-GB"/>
        </w:rPr>
      </w:pPr>
      <w:r w:rsidRPr="00841F3A">
        <w:rPr>
          <w:rFonts w:ascii="Arial" w:eastAsiaTheme="minorHAnsi" w:hAnsi="Arial" w:cs="Arial"/>
          <w:b/>
          <w:bCs/>
          <w:color w:val="1A1A1A"/>
          <w:lang w:val="en-GB"/>
        </w:rPr>
        <w:t>Stewardship</w:t>
      </w:r>
      <w:r w:rsidR="0022404D" w:rsidRPr="00841F3A">
        <w:rPr>
          <w:rFonts w:ascii="Arial" w:eastAsiaTheme="minorHAnsi" w:hAnsi="Arial" w:cs="Arial"/>
          <w:b/>
          <w:bCs/>
          <w:color w:val="1A1A1A"/>
          <w:lang w:val="en-GB"/>
        </w:rPr>
        <w:t xml:space="preserve"> </w:t>
      </w:r>
      <w:r w:rsidR="00D66C8E">
        <w:rPr>
          <w:rFonts w:ascii="Arial" w:eastAsiaTheme="minorHAnsi" w:hAnsi="Arial" w:cs="Arial"/>
          <w:b/>
          <w:bCs/>
          <w:color w:val="1A1A1A"/>
          <w:lang w:val="en-GB"/>
        </w:rPr>
        <w:t xml:space="preserve">and Governance </w:t>
      </w:r>
    </w:p>
    <w:p w14:paraId="5E0D137A" w14:textId="77777777" w:rsidR="00E53345" w:rsidRDefault="00E53345" w:rsidP="0032632E">
      <w:pPr>
        <w:pStyle w:val="BodyText"/>
        <w:spacing w:before="1" w:line="242" w:lineRule="auto"/>
        <w:ind w:left="375" w:right="960"/>
        <w:jc w:val="both"/>
        <w:rPr>
          <w:rFonts w:ascii="Arial" w:hAnsi="Arial" w:cs="Arial"/>
          <w:lang w:val="en-GB"/>
        </w:rPr>
      </w:pPr>
      <w:r w:rsidRPr="00E53345">
        <w:rPr>
          <w:rFonts w:ascii="Arial" w:hAnsi="Arial" w:cs="Arial"/>
          <w:lang w:val="en-GB"/>
        </w:rPr>
        <w:t>The Fund is committed to upholding high standards of governance and promoting corporate responsibility within the companies we invest in. Effective stewardship protects the long-term financial interests of the Fund and its beneficiaries.</w:t>
      </w:r>
    </w:p>
    <w:p w14:paraId="39774843" w14:textId="77777777" w:rsidR="00E53345" w:rsidRDefault="00E53345" w:rsidP="0032632E">
      <w:pPr>
        <w:pStyle w:val="BodyText"/>
        <w:spacing w:before="1" w:line="242" w:lineRule="auto"/>
        <w:ind w:left="375" w:right="960"/>
        <w:jc w:val="both"/>
        <w:rPr>
          <w:rFonts w:ascii="Arial" w:hAnsi="Arial" w:cs="Arial"/>
          <w:lang w:val="en-GB"/>
        </w:rPr>
      </w:pPr>
    </w:p>
    <w:p w14:paraId="0BFEC1BB" w14:textId="77777777" w:rsidR="00656143" w:rsidRPr="00656143" w:rsidRDefault="00656143" w:rsidP="0032632E">
      <w:pPr>
        <w:pStyle w:val="ListParagraph"/>
        <w:numPr>
          <w:ilvl w:val="0"/>
          <w:numId w:val="8"/>
        </w:numPr>
        <w:spacing w:before="1" w:after="240" w:line="242" w:lineRule="auto"/>
        <w:ind w:right="960"/>
        <w:jc w:val="both"/>
        <w:rPr>
          <w:rFonts w:ascii="Arial" w:hAnsi="Arial" w:cs="Arial"/>
          <w:b/>
          <w:bCs/>
          <w:vanish/>
          <w:w w:val="105"/>
          <w:lang w:val="en-GB"/>
        </w:rPr>
      </w:pPr>
    </w:p>
    <w:p w14:paraId="38D8D561" w14:textId="57199890" w:rsidR="00556FD1" w:rsidRPr="00556FD1" w:rsidRDefault="00556FD1" w:rsidP="0032632E">
      <w:pPr>
        <w:pStyle w:val="BodyText"/>
        <w:numPr>
          <w:ilvl w:val="1"/>
          <w:numId w:val="8"/>
        </w:numPr>
        <w:spacing w:before="1" w:after="240" w:line="242" w:lineRule="auto"/>
        <w:ind w:right="960"/>
        <w:jc w:val="both"/>
        <w:rPr>
          <w:rFonts w:ascii="Arial" w:hAnsi="Arial" w:cs="Arial"/>
          <w:b/>
          <w:bCs/>
          <w:lang w:val="en-GB"/>
        </w:rPr>
      </w:pPr>
      <w:r w:rsidRPr="00A32857">
        <w:rPr>
          <w:rFonts w:ascii="Arial" w:hAnsi="Arial" w:cs="Arial"/>
          <w:b/>
          <w:bCs/>
          <w:w w:val="105"/>
          <w:lang w:val="en-GB"/>
        </w:rPr>
        <w:t>Voting</w:t>
      </w:r>
    </w:p>
    <w:p w14:paraId="41BB39F8" w14:textId="2503354B" w:rsidR="00320C7A" w:rsidRPr="00320C7A" w:rsidRDefault="00320C7A" w:rsidP="0032632E">
      <w:pPr>
        <w:pStyle w:val="BodyText"/>
        <w:spacing w:before="1" w:after="240" w:line="242" w:lineRule="auto"/>
        <w:ind w:left="375" w:right="960"/>
        <w:jc w:val="both"/>
        <w:rPr>
          <w:rFonts w:ascii="Arial" w:hAnsi="Arial" w:cs="Arial"/>
          <w:lang w:val="en-GB"/>
        </w:rPr>
      </w:pPr>
      <w:r w:rsidRPr="00320C7A">
        <w:rPr>
          <w:rFonts w:ascii="Arial" w:hAnsi="Arial" w:cs="Arial"/>
          <w:lang w:val="en-GB"/>
        </w:rPr>
        <w:t xml:space="preserve">The Fund exercises ownership rights to promote long-term value creation and responsible corporate behaviour. Voting rights are delegated to investment managers, who are expected to act in the best interests of the Fund and its beneficiaries. </w:t>
      </w:r>
      <w:r w:rsidR="00D53151">
        <w:rPr>
          <w:rFonts w:ascii="Arial" w:hAnsi="Arial" w:cs="Arial"/>
          <w:lang w:val="en-GB"/>
        </w:rPr>
        <w:t>We expect m</w:t>
      </w:r>
      <w:r w:rsidRPr="00320C7A">
        <w:rPr>
          <w:rFonts w:ascii="Arial" w:hAnsi="Arial" w:cs="Arial"/>
          <w:lang w:val="en-GB"/>
        </w:rPr>
        <w:t xml:space="preserve">anagers </w:t>
      </w:r>
      <w:r w:rsidR="00D53151">
        <w:rPr>
          <w:rFonts w:ascii="Arial" w:hAnsi="Arial" w:cs="Arial"/>
          <w:lang w:val="en-GB"/>
        </w:rPr>
        <w:t xml:space="preserve">to provide regular updates on their voting activity and priorities. </w:t>
      </w:r>
    </w:p>
    <w:p w14:paraId="46ABBE54" w14:textId="37F00D89" w:rsidR="00320C7A" w:rsidRPr="00320C7A" w:rsidRDefault="00320C7A" w:rsidP="0032632E">
      <w:pPr>
        <w:pStyle w:val="BodyText"/>
        <w:spacing w:before="1" w:line="242" w:lineRule="auto"/>
        <w:ind w:left="375" w:right="960"/>
        <w:jc w:val="both"/>
        <w:rPr>
          <w:rFonts w:ascii="Arial" w:hAnsi="Arial" w:cs="Arial"/>
          <w:lang w:val="en-GB"/>
        </w:rPr>
      </w:pPr>
      <w:r w:rsidRPr="00320C7A">
        <w:rPr>
          <w:rFonts w:ascii="Arial" w:hAnsi="Arial" w:cs="Arial"/>
          <w:lang w:val="en-GB"/>
        </w:rPr>
        <w:t xml:space="preserve">For pooled funds, where direct voting is not possible, we expect </w:t>
      </w:r>
      <w:r w:rsidR="00BE01A4">
        <w:rPr>
          <w:rFonts w:ascii="Arial" w:hAnsi="Arial" w:cs="Arial"/>
          <w:lang w:val="en-GB"/>
        </w:rPr>
        <w:t xml:space="preserve">investment </w:t>
      </w:r>
      <w:r w:rsidRPr="00320C7A">
        <w:rPr>
          <w:rFonts w:ascii="Arial" w:hAnsi="Arial" w:cs="Arial"/>
          <w:lang w:val="en-GB"/>
        </w:rPr>
        <w:t>managers</w:t>
      </w:r>
      <w:r w:rsidR="00BE01A4">
        <w:rPr>
          <w:rFonts w:ascii="Arial" w:hAnsi="Arial" w:cs="Arial"/>
          <w:lang w:val="en-GB"/>
        </w:rPr>
        <w:t xml:space="preserve">/LCIV </w:t>
      </w:r>
      <w:r w:rsidRPr="00320C7A">
        <w:rPr>
          <w:rFonts w:ascii="Arial" w:hAnsi="Arial" w:cs="Arial"/>
          <w:lang w:val="en-GB"/>
        </w:rPr>
        <w:t xml:space="preserve">to implement </w:t>
      </w:r>
      <w:r w:rsidRPr="00397677">
        <w:rPr>
          <w:rFonts w:ascii="Arial" w:hAnsi="Arial" w:cs="Arial"/>
          <w:lang w:val="en-GB"/>
        </w:rPr>
        <w:t>pass-through voting solutions</w:t>
      </w:r>
      <w:r w:rsidRPr="00320C7A">
        <w:rPr>
          <w:rFonts w:ascii="Arial" w:hAnsi="Arial" w:cs="Arial"/>
          <w:lang w:val="en-GB"/>
        </w:rPr>
        <w:t xml:space="preserve"> where available, enabling the Fund’s voting preferences to be reflected. We will monitor developments in this area and engage with </w:t>
      </w:r>
      <w:r w:rsidR="00BE01A4">
        <w:rPr>
          <w:rFonts w:ascii="Arial" w:hAnsi="Arial" w:cs="Arial"/>
          <w:lang w:val="en-GB"/>
        </w:rPr>
        <w:t>L</w:t>
      </w:r>
      <w:r w:rsidRPr="00320C7A">
        <w:rPr>
          <w:rFonts w:ascii="Arial" w:hAnsi="Arial" w:cs="Arial"/>
          <w:lang w:val="en-GB"/>
        </w:rPr>
        <w:t>CIV and managers to encourage adoption of such mechanisms as they become feasible.</w:t>
      </w:r>
    </w:p>
    <w:p w14:paraId="717EB098" w14:textId="31341F3A" w:rsidR="00556FD1" w:rsidRDefault="00556FD1" w:rsidP="0032632E">
      <w:pPr>
        <w:pStyle w:val="BodyText"/>
        <w:spacing w:before="1" w:line="242" w:lineRule="auto"/>
        <w:ind w:left="375" w:right="960"/>
        <w:jc w:val="both"/>
        <w:rPr>
          <w:rFonts w:ascii="Arial" w:hAnsi="Arial" w:cs="Arial"/>
          <w:lang w:val="en-GB"/>
        </w:rPr>
      </w:pPr>
    </w:p>
    <w:p w14:paraId="7E8C842C" w14:textId="5FC404E7" w:rsidR="002D2193" w:rsidRPr="002D2193" w:rsidRDefault="002D2193" w:rsidP="0032632E">
      <w:pPr>
        <w:pStyle w:val="BodyText"/>
        <w:spacing w:before="1" w:line="242" w:lineRule="auto"/>
        <w:ind w:left="375" w:right="960"/>
        <w:jc w:val="both"/>
        <w:rPr>
          <w:rFonts w:ascii="Arial" w:hAnsi="Arial" w:cs="Arial"/>
          <w:lang w:val="en-GB"/>
        </w:rPr>
      </w:pPr>
      <w:r w:rsidRPr="002D2193">
        <w:rPr>
          <w:rFonts w:ascii="Arial" w:hAnsi="Arial" w:cs="Arial"/>
          <w:lang w:val="en-GB"/>
        </w:rPr>
        <w:t xml:space="preserve">In addition, the Fund will </w:t>
      </w:r>
      <w:r w:rsidRPr="00A32857">
        <w:rPr>
          <w:rFonts w:ascii="Arial" w:hAnsi="Arial" w:cs="Arial"/>
          <w:lang w:val="en-GB"/>
        </w:rPr>
        <w:t xml:space="preserve">regularly assess managers’ approach to voting and engagement to ensure alignment with our evolving </w:t>
      </w:r>
      <w:r w:rsidR="005461A8" w:rsidRPr="00A32857">
        <w:rPr>
          <w:rFonts w:ascii="Arial" w:hAnsi="Arial" w:cs="Arial"/>
          <w:lang w:val="en-GB"/>
        </w:rPr>
        <w:t>RI</w:t>
      </w:r>
      <w:r w:rsidRPr="00A32857">
        <w:rPr>
          <w:rFonts w:ascii="Arial" w:hAnsi="Arial" w:cs="Arial"/>
          <w:lang w:val="en-GB"/>
        </w:rPr>
        <w:t xml:space="preserve"> priorities</w:t>
      </w:r>
      <w:r w:rsidRPr="005461A8">
        <w:rPr>
          <w:rFonts w:ascii="Arial" w:hAnsi="Arial" w:cs="Arial"/>
          <w:lang w:val="en-GB"/>
        </w:rPr>
        <w:t>.</w:t>
      </w:r>
    </w:p>
    <w:p w14:paraId="4601BB9E" w14:textId="77777777" w:rsidR="002D2193" w:rsidRPr="00556FD1" w:rsidRDefault="002D2193" w:rsidP="0032632E">
      <w:pPr>
        <w:pStyle w:val="BodyText"/>
        <w:spacing w:before="1" w:line="242" w:lineRule="auto"/>
        <w:ind w:left="375" w:right="960"/>
        <w:jc w:val="both"/>
        <w:rPr>
          <w:rFonts w:ascii="Arial" w:hAnsi="Arial" w:cs="Arial"/>
          <w:lang w:val="en-GB"/>
        </w:rPr>
      </w:pPr>
    </w:p>
    <w:p w14:paraId="415EF4FA" w14:textId="77777777" w:rsidR="00225509" w:rsidRPr="00225509" w:rsidRDefault="00225509" w:rsidP="0032632E">
      <w:pPr>
        <w:pStyle w:val="BodyText"/>
        <w:numPr>
          <w:ilvl w:val="1"/>
          <w:numId w:val="8"/>
        </w:numPr>
        <w:spacing w:before="1" w:after="240" w:line="242" w:lineRule="auto"/>
        <w:ind w:right="960"/>
        <w:jc w:val="both"/>
        <w:rPr>
          <w:rFonts w:ascii="Arial" w:hAnsi="Arial" w:cs="Arial"/>
          <w:b/>
          <w:bCs/>
          <w:lang w:val="en-GB"/>
        </w:rPr>
      </w:pPr>
      <w:r w:rsidRPr="00225509">
        <w:rPr>
          <w:rFonts w:ascii="Arial" w:hAnsi="Arial" w:cs="Arial"/>
          <w:b/>
          <w:bCs/>
          <w:lang w:val="en-GB"/>
        </w:rPr>
        <w:t>Engagement and Oversight</w:t>
      </w:r>
    </w:p>
    <w:p w14:paraId="72E8F2EF" w14:textId="50C98865" w:rsidR="00225509" w:rsidRPr="00225509" w:rsidRDefault="00225509" w:rsidP="0032632E">
      <w:pPr>
        <w:pStyle w:val="BodyText"/>
        <w:spacing w:before="1" w:after="240" w:line="242" w:lineRule="auto"/>
        <w:ind w:left="375" w:right="960"/>
        <w:jc w:val="both"/>
        <w:rPr>
          <w:rFonts w:ascii="Arial" w:hAnsi="Arial" w:cs="Arial"/>
          <w:lang w:val="en-GB"/>
        </w:rPr>
      </w:pPr>
      <w:r w:rsidRPr="00225509">
        <w:rPr>
          <w:rFonts w:ascii="Arial" w:hAnsi="Arial" w:cs="Arial"/>
          <w:lang w:val="en-GB"/>
        </w:rPr>
        <w:t xml:space="preserve">Stewardship activities are reviewed </w:t>
      </w:r>
      <w:r w:rsidR="002A0386">
        <w:rPr>
          <w:rFonts w:ascii="Arial" w:hAnsi="Arial" w:cs="Arial"/>
          <w:lang w:val="en-GB"/>
        </w:rPr>
        <w:t>periodically</w:t>
      </w:r>
      <w:r w:rsidRPr="00225509">
        <w:rPr>
          <w:rFonts w:ascii="Arial" w:hAnsi="Arial" w:cs="Arial"/>
          <w:lang w:val="en-GB"/>
        </w:rPr>
        <w:t xml:space="preserve">. </w:t>
      </w:r>
      <w:r w:rsidR="002A0386">
        <w:rPr>
          <w:rFonts w:ascii="Arial" w:hAnsi="Arial" w:cs="Arial"/>
          <w:lang w:val="en-GB"/>
        </w:rPr>
        <w:t>The Fund</w:t>
      </w:r>
      <w:r w:rsidRPr="00225509">
        <w:rPr>
          <w:rFonts w:ascii="Arial" w:hAnsi="Arial" w:cs="Arial"/>
          <w:lang w:val="en-GB"/>
        </w:rPr>
        <w:t xml:space="preserve"> engage</w:t>
      </w:r>
      <w:r w:rsidR="002A0386">
        <w:rPr>
          <w:rFonts w:ascii="Arial" w:hAnsi="Arial" w:cs="Arial"/>
          <w:lang w:val="en-GB"/>
        </w:rPr>
        <w:t>s</w:t>
      </w:r>
      <w:r w:rsidRPr="00225509">
        <w:rPr>
          <w:rFonts w:ascii="Arial" w:hAnsi="Arial" w:cs="Arial"/>
          <w:lang w:val="en-GB"/>
        </w:rPr>
        <w:t xml:space="preserve"> with </w:t>
      </w:r>
      <w:r w:rsidR="00744ACD">
        <w:rPr>
          <w:rFonts w:ascii="Arial" w:hAnsi="Arial" w:cs="Arial"/>
          <w:lang w:val="en-GB"/>
        </w:rPr>
        <w:t xml:space="preserve">investment </w:t>
      </w:r>
      <w:r w:rsidRPr="00225509">
        <w:rPr>
          <w:rFonts w:ascii="Arial" w:hAnsi="Arial" w:cs="Arial"/>
          <w:lang w:val="en-GB"/>
        </w:rPr>
        <w:t>managers where necessary and encourage</w:t>
      </w:r>
      <w:r w:rsidR="00000A0A">
        <w:rPr>
          <w:rFonts w:ascii="Arial" w:hAnsi="Arial" w:cs="Arial"/>
          <w:lang w:val="en-GB"/>
        </w:rPr>
        <w:t>s</w:t>
      </w:r>
      <w:r w:rsidRPr="00225509">
        <w:rPr>
          <w:rFonts w:ascii="Arial" w:hAnsi="Arial" w:cs="Arial"/>
          <w:lang w:val="en-GB"/>
        </w:rPr>
        <w:t xml:space="preserve"> them to provide context for voting and engagement decisions, including rationale, relevance to the Fund, and outcomes achieved.</w:t>
      </w:r>
    </w:p>
    <w:p w14:paraId="6DBCAC0A" w14:textId="77777777" w:rsidR="00225509" w:rsidRPr="00225509" w:rsidRDefault="00225509" w:rsidP="0032632E">
      <w:pPr>
        <w:pStyle w:val="BodyText"/>
        <w:numPr>
          <w:ilvl w:val="1"/>
          <w:numId w:val="8"/>
        </w:numPr>
        <w:spacing w:before="1" w:after="240" w:line="242" w:lineRule="auto"/>
        <w:ind w:right="960"/>
        <w:jc w:val="both"/>
        <w:rPr>
          <w:rFonts w:ascii="Arial" w:hAnsi="Arial" w:cs="Arial"/>
          <w:b/>
          <w:bCs/>
          <w:lang w:val="en-GB"/>
        </w:rPr>
      </w:pPr>
      <w:r w:rsidRPr="00A32857">
        <w:rPr>
          <w:rFonts w:ascii="Arial" w:hAnsi="Arial" w:cs="Arial"/>
          <w:b/>
          <w:bCs/>
          <w:w w:val="105"/>
          <w:lang w:val="en-GB"/>
        </w:rPr>
        <w:t>Commitment</w:t>
      </w:r>
      <w:r w:rsidRPr="00225509">
        <w:rPr>
          <w:rFonts w:ascii="Arial" w:hAnsi="Arial" w:cs="Arial"/>
          <w:b/>
          <w:bCs/>
          <w:lang w:val="en-GB"/>
        </w:rPr>
        <w:t xml:space="preserve"> to Best Practice</w:t>
      </w:r>
    </w:p>
    <w:p w14:paraId="30817142" w14:textId="77777777" w:rsidR="00D93B75" w:rsidRPr="00D93B75" w:rsidRDefault="00D93B75" w:rsidP="0032632E">
      <w:pPr>
        <w:pStyle w:val="BodyText"/>
        <w:spacing w:before="1" w:line="242" w:lineRule="auto"/>
        <w:ind w:left="375" w:right="960"/>
        <w:jc w:val="both"/>
        <w:rPr>
          <w:rFonts w:ascii="Arial" w:hAnsi="Arial" w:cs="Arial"/>
          <w:lang w:val="en-GB"/>
        </w:rPr>
      </w:pPr>
      <w:r w:rsidRPr="00D93B75">
        <w:rPr>
          <w:rFonts w:ascii="Arial" w:hAnsi="Arial" w:cs="Arial"/>
          <w:lang w:val="en-GB"/>
        </w:rPr>
        <w:t xml:space="preserve">The Fund is committed to maintaining the highest standards of stewardship and governance. </w:t>
      </w:r>
    </w:p>
    <w:p w14:paraId="7A20E727" w14:textId="2FCBA1F7" w:rsidR="00225509" w:rsidRDefault="0002798F" w:rsidP="0032632E">
      <w:pPr>
        <w:pStyle w:val="BodyText"/>
        <w:spacing w:before="1" w:line="242" w:lineRule="auto"/>
        <w:ind w:left="375" w:right="960"/>
        <w:jc w:val="both"/>
        <w:rPr>
          <w:rFonts w:ascii="Arial" w:hAnsi="Arial" w:cs="Arial"/>
          <w:lang w:val="en-GB"/>
        </w:rPr>
      </w:pPr>
      <w:r>
        <w:rPr>
          <w:rFonts w:ascii="Arial" w:hAnsi="Arial" w:cs="Arial"/>
          <w:lang w:val="en-GB"/>
        </w:rPr>
        <w:t>In 2025, t</w:t>
      </w:r>
      <w:r w:rsidR="00225509" w:rsidRPr="00225509">
        <w:rPr>
          <w:rFonts w:ascii="Arial" w:hAnsi="Arial" w:cs="Arial"/>
          <w:lang w:val="en-GB"/>
        </w:rPr>
        <w:t xml:space="preserve">he Fund </w:t>
      </w:r>
      <w:r w:rsidR="00467E2C">
        <w:rPr>
          <w:rFonts w:ascii="Arial" w:hAnsi="Arial" w:cs="Arial"/>
          <w:lang w:val="en-GB"/>
        </w:rPr>
        <w:t>was</w:t>
      </w:r>
      <w:r>
        <w:rPr>
          <w:rFonts w:ascii="Arial" w:hAnsi="Arial" w:cs="Arial"/>
          <w:lang w:val="en-GB"/>
        </w:rPr>
        <w:t xml:space="preserve"> accepted as a signatory to the UK </w:t>
      </w:r>
      <w:r w:rsidR="00225509" w:rsidRPr="00225509">
        <w:rPr>
          <w:rFonts w:ascii="Arial" w:hAnsi="Arial" w:cs="Arial"/>
          <w:lang w:val="en-GB"/>
        </w:rPr>
        <w:t>Stewardship Code</w:t>
      </w:r>
      <w:r w:rsidR="002A69BA">
        <w:rPr>
          <w:rFonts w:ascii="Arial" w:hAnsi="Arial" w:cs="Arial"/>
          <w:lang w:val="en-GB"/>
        </w:rPr>
        <w:t>, which</w:t>
      </w:r>
      <w:r w:rsidR="00225509" w:rsidRPr="00225509">
        <w:rPr>
          <w:rFonts w:ascii="Arial" w:hAnsi="Arial" w:cs="Arial"/>
          <w:lang w:val="en-GB"/>
        </w:rPr>
        <w:t xml:space="preserve"> demonstrates our commitment to transparency, accountability, and recognised best practice. </w:t>
      </w:r>
      <w:r w:rsidR="00B650D6" w:rsidRPr="00B650D6">
        <w:rPr>
          <w:rFonts w:ascii="Arial" w:hAnsi="Arial" w:cs="Arial"/>
          <w:lang w:val="en-GB"/>
        </w:rPr>
        <w:t xml:space="preserve">We will </w:t>
      </w:r>
      <w:r w:rsidR="000114B1">
        <w:rPr>
          <w:rFonts w:ascii="Arial" w:hAnsi="Arial" w:cs="Arial"/>
          <w:lang w:val="en-GB"/>
        </w:rPr>
        <w:t xml:space="preserve">aim to </w:t>
      </w:r>
      <w:r w:rsidR="00B650D6" w:rsidRPr="00B650D6">
        <w:rPr>
          <w:rFonts w:ascii="Arial" w:hAnsi="Arial" w:cs="Arial"/>
          <w:lang w:val="en-GB"/>
        </w:rPr>
        <w:t>continue to remain a signatory to the UK Stewardship Code and uphold its principles as part of our responsible investment approach</w:t>
      </w:r>
      <w:r w:rsidR="00225509" w:rsidRPr="00225509">
        <w:rPr>
          <w:rFonts w:ascii="Arial" w:hAnsi="Arial" w:cs="Arial"/>
          <w:lang w:val="en-GB"/>
        </w:rPr>
        <w:t>.</w:t>
      </w:r>
      <w:r w:rsidR="000114B1">
        <w:rPr>
          <w:rFonts w:ascii="Arial" w:hAnsi="Arial" w:cs="Arial"/>
          <w:lang w:val="en-GB"/>
        </w:rPr>
        <w:t xml:space="preserve"> </w:t>
      </w:r>
    </w:p>
    <w:p w14:paraId="7673860A" w14:textId="77777777" w:rsidR="00E76436" w:rsidRDefault="00E76436" w:rsidP="0032632E">
      <w:pPr>
        <w:pStyle w:val="BodyText"/>
        <w:spacing w:before="1" w:line="242" w:lineRule="auto"/>
        <w:ind w:left="375" w:right="960"/>
        <w:jc w:val="both"/>
        <w:rPr>
          <w:rFonts w:ascii="Arial" w:hAnsi="Arial" w:cs="Arial"/>
          <w:lang w:val="en-GB"/>
        </w:rPr>
      </w:pPr>
    </w:p>
    <w:p w14:paraId="58411B44" w14:textId="200E53E8" w:rsidR="00E76436" w:rsidRDefault="00CA1D88" w:rsidP="0032632E">
      <w:pPr>
        <w:pStyle w:val="BodyText"/>
        <w:spacing w:before="1" w:line="242" w:lineRule="auto"/>
        <w:ind w:left="375" w:right="960"/>
        <w:jc w:val="both"/>
        <w:rPr>
          <w:rFonts w:ascii="Arial" w:hAnsi="Arial" w:cs="Arial"/>
          <w:lang w:val="en-GB"/>
        </w:rPr>
      </w:pPr>
      <w:r>
        <w:rPr>
          <w:rFonts w:ascii="Arial" w:hAnsi="Arial" w:cs="Arial"/>
          <w:lang w:val="en-GB"/>
        </w:rPr>
        <w:t xml:space="preserve">When relevant, the Fund will provide updates on such initiatives to the PAP as part of its robust governance. </w:t>
      </w:r>
    </w:p>
    <w:p w14:paraId="6D26DE16" w14:textId="77777777" w:rsidR="00AC24BF" w:rsidRDefault="00AC24BF" w:rsidP="0032632E">
      <w:pPr>
        <w:pStyle w:val="BodyText"/>
        <w:spacing w:before="1" w:line="242" w:lineRule="auto"/>
        <w:ind w:left="375" w:right="960"/>
        <w:jc w:val="both"/>
        <w:rPr>
          <w:rFonts w:ascii="Arial" w:hAnsi="Arial" w:cs="Arial"/>
          <w:lang w:val="en-GB"/>
        </w:rPr>
      </w:pPr>
    </w:p>
    <w:p w14:paraId="26923C93" w14:textId="77777777" w:rsidR="00AC24BF" w:rsidRDefault="00AC24BF" w:rsidP="0032632E">
      <w:pPr>
        <w:pStyle w:val="BodyText"/>
        <w:spacing w:before="1" w:line="242" w:lineRule="auto"/>
        <w:ind w:left="375" w:right="960"/>
        <w:jc w:val="both"/>
        <w:rPr>
          <w:rFonts w:ascii="Arial" w:hAnsi="Arial" w:cs="Arial"/>
          <w:lang w:val="en-GB"/>
        </w:rPr>
      </w:pPr>
    </w:p>
    <w:p w14:paraId="0598494C" w14:textId="77777777" w:rsidR="00AC24BF" w:rsidRDefault="00AC24BF" w:rsidP="0032632E">
      <w:pPr>
        <w:pStyle w:val="BodyText"/>
        <w:spacing w:before="1" w:line="242" w:lineRule="auto"/>
        <w:ind w:left="375" w:right="960"/>
        <w:jc w:val="both"/>
        <w:rPr>
          <w:rFonts w:ascii="Arial" w:hAnsi="Arial" w:cs="Arial"/>
          <w:lang w:val="en-GB"/>
        </w:rPr>
      </w:pPr>
    </w:p>
    <w:p w14:paraId="4B9AB05F" w14:textId="77777777" w:rsidR="00625352" w:rsidRDefault="00625352" w:rsidP="0032632E">
      <w:pPr>
        <w:pStyle w:val="BodyText"/>
        <w:spacing w:before="1" w:line="242" w:lineRule="auto"/>
        <w:ind w:left="375" w:right="960"/>
        <w:jc w:val="both"/>
        <w:rPr>
          <w:rFonts w:ascii="Arial" w:hAnsi="Arial" w:cs="Arial"/>
          <w:lang w:val="en-GB"/>
        </w:rPr>
      </w:pPr>
    </w:p>
    <w:p w14:paraId="5B50B62E" w14:textId="77777777" w:rsidR="00225509" w:rsidRPr="00225509" w:rsidRDefault="00225509" w:rsidP="0032632E">
      <w:pPr>
        <w:pStyle w:val="BodyText"/>
        <w:numPr>
          <w:ilvl w:val="1"/>
          <w:numId w:val="8"/>
        </w:numPr>
        <w:spacing w:before="1" w:after="240" w:line="242" w:lineRule="auto"/>
        <w:ind w:right="960"/>
        <w:jc w:val="both"/>
        <w:rPr>
          <w:rFonts w:ascii="Arial" w:hAnsi="Arial" w:cs="Arial"/>
          <w:b/>
          <w:bCs/>
          <w:lang w:val="en-GB"/>
        </w:rPr>
      </w:pPr>
      <w:r w:rsidRPr="00A32857">
        <w:rPr>
          <w:rFonts w:ascii="Arial" w:hAnsi="Arial" w:cs="Arial"/>
          <w:b/>
          <w:bCs/>
          <w:w w:val="105"/>
          <w:lang w:val="en-GB"/>
        </w:rPr>
        <w:t>Collaborative</w:t>
      </w:r>
      <w:r w:rsidRPr="00225509">
        <w:rPr>
          <w:rFonts w:ascii="Arial" w:hAnsi="Arial" w:cs="Arial"/>
          <w:b/>
          <w:bCs/>
          <w:lang w:val="en-GB"/>
        </w:rPr>
        <w:t xml:space="preserve"> Engagement</w:t>
      </w:r>
    </w:p>
    <w:p w14:paraId="5DD4403D" w14:textId="0CF1C8C4" w:rsidR="00F53F71" w:rsidRPr="00225509" w:rsidRDefault="00F53F71" w:rsidP="00AD6D65">
      <w:pPr>
        <w:pStyle w:val="BodyText"/>
        <w:spacing w:before="1" w:line="242" w:lineRule="auto"/>
        <w:ind w:left="375" w:right="960"/>
        <w:jc w:val="both"/>
        <w:rPr>
          <w:rFonts w:ascii="Arial" w:hAnsi="Arial" w:cs="Arial"/>
          <w:lang w:val="en-GB"/>
        </w:rPr>
      </w:pPr>
      <w:r w:rsidRPr="00841F3A">
        <w:rPr>
          <w:rFonts w:ascii="Arial" w:hAnsi="Arial" w:cs="Arial"/>
          <w:lang w:val="en-GB"/>
        </w:rPr>
        <w:lastRenderedPageBreak/>
        <w:t xml:space="preserve">The Fund </w:t>
      </w:r>
      <w:r>
        <w:rPr>
          <w:rFonts w:ascii="Arial" w:hAnsi="Arial" w:cs="Arial"/>
          <w:lang w:val="en-GB"/>
        </w:rPr>
        <w:t xml:space="preserve">will continue to </w:t>
      </w:r>
      <w:r w:rsidRPr="00841F3A">
        <w:rPr>
          <w:rFonts w:ascii="Arial" w:hAnsi="Arial" w:cs="Arial"/>
          <w:lang w:val="en-GB"/>
        </w:rPr>
        <w:t xml:space="preserve">collaborate with a wide range of stakeholders and market participants </w:t>
      </w:r>
      <w:r>
        <w:rPr>
          <w:rFonts w:ascii="Arial" w:hAnsi="Arial" w:cs="Arial"/>
          <w:lang w:val="en-GB"/>
        </w:rPr>
        <w:t xml:space="preserve">and participate in various industry initiatives, networks and forums </w:t>
      </w:r>
      <w:r w:rsidRPr="00841F3A">
        <w:rPr>
          <w:rFonts w:ascii="Arial" w:hAnsi="Arial" w:cs="Arial"/>
          <w:lang w:val="en-GB"/>
        </w:rPr>
        <w:t xml:space="preserve">to improve management of systemic ESG risks and to advance its </w:t>
      </w:r>
      <w:r w:rsidR="00656143">
        <w:rPr>
          <w:rFonts w:ascii="Arial" w:hAnsi="Arial" w:cs="Arial"/>
          <w:lang w:val="en-GB"/>
        </w:rPr>
        <w:t>RI priorities</w:t>
      </w:r>
      <w:r w:rsidRPr="00841F3A">
        <w:rPr>
          <w:rFonts w:ascii="Arial" w:hAnsi="Arial" w:cs="Arial"/>
          <w:lang w:val="en-GB"/>
        </w:rPr>
        <w:t>.</w:t>
      </w:r>
      <w:r w:rsidR="00AD6D65">
        <w:rPr>
          <w:rFonts w:ascii="Arial" w:hAnsi="Arial" w:cs="Arial"/>
          <w:lang w:val="en-GB"/>
        </w:rPr>
        <w:t xml:space="preserve"> </w:t>
      </w:r>
      <w:r w:rsidRPr="00841F3A">
        <w:rPr>
          <w:rFonts w:ascii="Arial" w:hAnsi="Arial" w:cs="Arial"/>
          <w:lang w:val="en-GB"/>
        </w:rPr>
        <w:t>The Fund is also fully committed to collaborating with other local authority partners including the LCIV, LAPFF, and any other private or government body to advance impact in line with its responsible investment principles</w:t>
      </w:r>
      <w:r w:rsidR="00625352">
        <w:rPr>
          <w:rFonts w:ascii="Arial" w:hAnsi="Arial" w:cs="Arial"/>
          <w:lang w:val="en-GB"/>
        </w:rPr>
        <w:t>.</w:t>
      </w:r>
    </w:p>
    <w:p w14:paraId="16293E85" w14:textId="77777777" w:rsidR="00E53345" w:rsidRDefault="00E53345" w:rsidP="0032632E">
      <w:pPr>
        <w:pStyle w:val="BodyText"/>
        <w:spacing w:before="1" w:line="242" w:lineRule="auto"/>
        <w:ind w:left="375" w:right="960"/>
        <w:jc w:val="both"/>
        <w:rPr>
          <w:rFonts w:ascii="Arial" w:hAnsi="Arial" w:cs="Arial"/>
          <w:lang w:val="en-GB"/>
        </w:rPr>
      </w:pPr>
    </w:p>
    <w:p w14:paraId="04AC56DE" w14:textId="4BA3B804" w:rsidR="00DE039F" w:rsidRPr="006A1D0D" w:rsidRDefault="00DE039F" w:rsidP="0032632E">
      <w:pPr>
        <w:pStyle w:val="BodyText"/>
        <w:numPr>
          <w:ilvl w:val="0"/>
          <w:numId w:val="10"/>
        </w:numPr>
        <w:spacing w:before="1" w:after="240" w:line="242" w:lineRule="auto"/>
        <w:ind w:left="709" w:right="960" w:hanging="283"/>
        <w:jc w:val="both"/>
        <w:rPr>
          <w:rFonts w:ascii="Arial" w:eastAsiaTheme="minorHAnsi" w:hAnsi="Arial" w:cs="Arial"/>
          <w:b/>
          <w:bCs/>
          <w:color w:val="1A1A1A"/>
          <w:lang w:val="en-GB"/>
        </w:rPr>
      </w:pPr>
      <w:r>
        <w:rPr>
          <w:rFonts w:ascii="Arial" w:eastAsiaTheme="minorHAnsi" w:hAnsi="Arial" w:cs="Arial"/>
          <w:b/>
          <w:bCs/>
          <w:color w:val="1A1A1A"/>
          <w:lang w:val="en-GB"/>
        </w:rPr>
        <w:t xml:space="preserve">Governance of this Policy </w:t>
      </w:r>
      <w:r w:rsidRPr="006A1D0D">
        <w:rPr>
          <w:rFonts w:ascii="Arial" w:eastAsiaTheme="minorHAnsi" w:hAnsi="Arial" w:cs="Arial"/>
          <w:b/>
          <w:bCs/>
          <w:color w:val="1A1A1A"/>
          <w:lang w:val="en-GB"/>
        </w:rPr>
        <w:t xml:space="preserve"> </w:t>
      </w:r>
    </w:p>
    <w:p w14:paraId="237FF51F" w14:textId="77777777" w:rsidR="00D70EA9" w:rsidRDefault="00D70EA9" w:rsidP="0032632E">
      <w:pPr>
        <w:widowControl/>
        <w:adjustRightInd w:val="0"/>
        <w:spacing w:after="240"/>
        <w:ind w:left="375" w:right="912"/>
        <w:jc w:val="both"/>
        <w:rPr>
          <w:rFonts w:ascii="Arial" w:hAnsi="Arial" w:cs="Arial"/>
          <w:lang w:val="en-GB"/>
        </w:rPr>
      </w:pPr>
      <w:r>
        <w:rPr>
          <w:rFonts w:ascii="Arial" w:hAnsi="Arial" w:cs="Arial"/>
          <w:lang w:val="en-GB"/>
        </w:rPr>
        <w:t xml:space="preserve">The Policy will be reviewed: </w:t>
      </w:r>
    </w:p>
    <w:p w14:paraId="1430AEB8" w14:textId="77777777" w:rsidR="00D70EA9" w:rsidRDefault="00D70EA9" w:rsidP="006976EF">
      <w:pPr>
        <w:pStyle w:val="Default"/>
        <w:numPr>
          <w:ilvl w:val="0"/>
          <w:numId w:val="16"/>
        </w:numPr>
        <w:spacing w:after="240"/>
        <w:ind w:right="1054"/>
        <w:jc w:val="both"/>
        <w:rPr>
          <w:sz w:val="23"/>
          <w:szCs w:val="23"/>
        </w:rPr>
      </w:pPr>
      <w:r>
        <w:rPr>
          <w:sz w:val="23"/>
          <w:szCs w:val="23"/>
        </w:rPr>
        <w:t xml:space="preserve">Annually for any significant changes in portfolio or market circumstances or national government guidance </w:t>
      </w:r>
    </w:p>
    <w:p w14:paraId="2AAB74C1" w14:textId="77777777" w:rsidR="00D70EA9" w:rsidRDefault="00D70EA9" w:rsidP="006976EF">
      <w:pPr>
        <w:pStyle w:val="Default"/>
        <w:numPr>
          <w:ilvl w:val="0"/>
          <w:numId w:val="16"/>
        </w:numPr>
        <w:jc w:val="both"/>
        <w:rPr>
          <w:sz w:val="23"/>
          <w:szCs w:val="23"/>
        </w:rPr>
      </w:pPr>
      <w:r>
        <w:rPr>
          <w:sz w:val="23"/>
          <w:szCs w:val="23"/>
        </w:rPr>
        <w:t xml:space="preserve">Every three years for a full review and consideration of priority themes and beliefs </w:t>
      </w:r>
    </w:p>
    <w:p w14:paraId="628D373F" w14:textId="375A2822" w:rsidR="00DE039F" w:rsidRPr="00A32857" w:rsidRDefault="00DE039F" w:rsidP="0032632E">
      <w:pPr>
        <w:widowControl/>
        <w:adjustRightInd w:val="0"/>
        <w:ind w:left="375" w:right="912"/>
        <w:jc w:val="both"/>
        <w:rPr>
          <w:rFonts w:ascii="Arial" w:hAnsi="Arial" w:cs="Arial"/>
          <w:lang w:val="en-GB"/>
        </w:rPr>
      </w:pPr>
    </w:p>
    <w:p w14:paraId="45215FFE" w14:textId="2949161C" w:rsidR="0044454B" w:rsidRPr="0044454B" w:rsidRDefault="0044454B" w:rsidP="0032632E">
      <w:pPr>
        <w:pStyle w:val="BodyText"/>
        <w:spacing w:before="1" w:after="240" w:line="242" w:lineRule="auto"/>
        <w:ind w:left="375" w:right="960"/>
        <w:jc w:val="both"/>
        <w:rPr>
          <w:rFonts w:ascii="Arial" w:hAnsi="Arial" w:cs="Arial"/>
          <w:lang w:val="en-GB"/>
        </w:rPr>
      </w:pPr>
      <w:r>
        <w:rPr>
          <w:rFonts w:ascii="Arial" w:hAnsi="Arial" w:cs="Arial"/>
          <w:lang w:val="en-GB"/>
        </w:rPr>
        <w:t>Overall r</w:t>
      </w:r>
      <w:r w:rsidRPr="0044454B">
        <w:rPr>
          <w:rFonts w:ascii="Arial" w:hAnsi="Arial" w:cs="Arial"/>
          <w:lang w:val="en-GB"/>
        </w:rPr>
        <w:t>esponsibility for the operation of th</w:t>
      </w:r>
      <w:r w:rsidR="006976EF">
        <w:rPr>
          <w:rFonts w:ascii="Arial" w:hAnsi="Arial" w:cs="Arial"/>
          <w:lang w:val="en-GB"/>
        </w:rPr>
        <w:t>is</w:t>
      </w:r>
      <w:r w:rsidRPr="0044454B">
        <w:rPr>
          <w:rFonts w:ascii="Arial" w:hAnsi="Arial" w:cs="Arial"/>
          <w:lang w:val="en-GB"/>
        </w:rPr>
        <w:t xml:space="preserve"> Policy sits with </w:t>
      </w:r>
      <w:r w:rsidR="006976EF">
        <w:rPr>
          <w:rFonts w:ascii="Arial" w:hAnsi="Arial" w:cs="Arial"/>
          <w:lang w:val="en-GB"/>
        </w:rPr>
        <w:t xml:space="preserve">the </w:t>
      </w:r>
      <w:r w:rsidR="00AB4F33">
        <w:rPr>
          <w:rFonts w:ascii="Arial" w:hAnsi="Arial" w:cs="Arial"/>
          <w:lang w:val="en-GB"/>
        </w:rPr>
        <w:t>Strategic Director of Resources</w:t>
      </w:r>
      <w:r w:rsidR="008B714C">
        <w:rPr>
          <w:rFonts w:ascii="Arial" w:hAnsi="Arial" w:cs="Arial"/>
          <w:lang w:val="en-GB"/>
        </w:rPr>
        <w:t>.</w:t>
      </w:r>
      <w:r w:rsidR="00EA0C4D">
        <w:rPr>
          <w:rFonts w:ascii="Arial" w:hAnsi="Arial" w:cs="Arial"/>
          <w:lang w:val="en-GB"/>
        </w:rPr>
        <w:t xml:space="preserve"> </w:t>
      </w:r>
    </w:p>
    <w:p w14:paraId="27A0B3AB" w14:textId="479CA326" w:rsidR="00DE039F" w:rsidRDefault="006976EF" w:rsidP="0032632E">
      <w:pPr>
        <w:pStyle w:val="BodyText"/>
        <w:spacing w:before="1" w:line="242" w:lineRule="auto"/>
        <w:ind w:left="375" w:right="960"/>
        <w:jc w:val="both"/>
        <w:rPr>
          <w:rFonts w:ascii="Arial" w:hAnsi="Arial" w:cs="Arial"/>
          <w:lang w:val="en-GB"/>
        </w:rPr>
      </w:pPr>
      <w:r>
        <w:rPr>
          <w:rFonts w:ascii="Arial" w:hAnsi="Arial" w:cs="Arial"/>
          <w:lang w:val="en-GB"/>
        </w:rPr>
        <w:t>The</w:t>
      </w:r>
      <w:r w:rsidR="004402BD">
        <w:rPr>
          <w:rFonts w:ascii="Arial" w:hAnsi="Arial" w:cs="Arial"/>
          <w:lang w:val="en-GB"/>
        </w:rPr>
        <w:t xml:space="preserve"> implementation of th</w:t>
      </w:r>
      <w:r>
        <w:rPr>
          <w:rFonts w:ascii="Arial" w:hAnsi="Arial" w:cs="Arial"/>
          <w:lang w:val="en-GB"/>
        </w:rPr>
        <w:t>is</w:t>
      </w:r>
      <w:r w:rsidR="004402BD">
        <w:rPr>
          <w:rFonts w:ascii="Arial" w:hAnsi="Arial" w:cs="Arial"/>
          <w:lang w:val="en-GB"/>
        </w:rPr>
        <w:t xml:space="preserve"> Policy </w:t>
      </w:r>
      <w:r w:rsidR="00C002C4">
        <w:rPr>
          <w:rFonts w:ascii="Arial" w:hAnsi="Arial" w:cs="Arial"/>
          <w:lang w:val="en-GB"/>
        </w:rPr>
        <w:t xml:space="preserve">will be </w:t>
      </w:r>
      <w:r w:rsidR="004402BD">
        <w:rPr>
          <w:rFonts w:ascii="Arial" w:hAnsi="Arial" w:cs="Arial"/>
          <w:lang w:val="en-GB"/>
        </w:rPr>
        <w:t xml:space="preserve">undertaken by </w:t>
      </w:r>
      <w:r w:rsidR="00C002C4">
        <w:rPr>
          <w:rFonts w:ascii="Arial" w:hAnsi="Arial" w:cs="Arial"/>
          <w:lang w:val="en-GB"/>
        </w:rPr>
        <w:t xml:space="preserve">LCIV with regular monitoring by </w:t>
      </w:r>
      <w:r w:rsidR="004402BD">
        <w:rPr>
          <w:rFonts w:ascii="Arial" w:hAnsi="Arial" w:cs="Arial"/>
          <w:lang w:val="en-GB"/>
        </w:rPr>
        <w:t>the Fund</w:t>
      </w:r>
      <w:r w:rsidR="00456AA0">
        <w:rPr>
          <w:rFonts w:ascii="Arial" w:hAnsi="Arial" w:cs="Arial"/>
          <w:lang w:val="en-GB"/>
        </w:rPr>
        <w:t xml:space="preserve">. </w:t>
      </w:r>
    </w:p>
    <w:p w14:paraId="07E3F109" w14:textId="77777777" w:rsidR="00396C16" w:rsidRPr="00E53345" w:rsidRDefault="00396C16" w:rsidP="0032632E">
      <w:pPr>
        <w:pStyle w:val="BodyText"/>
        <w:spacing w:before="1" w:line="242" w:lineRule="auto"/>
        <w:ind w:left="375" w:right="960"/>
        <w:jc w:val="both"/>
        <w:rPr>
          <w:rFonts w:ascii="Arial" w:hAnsi="Arial" w:cs="Arial"/>
          <w:lang w:val="en-GB"/>
        </w:rPr>
      </w:pPr>
    </w:p>
    <w:p w14:paraId="1853D27B" w14:textId="4587676C" w:rsidR="00AA50EC" w:rsidRPr="0024621F" w:rsidRDefault="002B7607" w:rsidP="0032632E">
      <w:pPr>
        <w:pStyle w:val="BodyText"/>
        <w:numPr>
          <w:ilvl w:val="0"/>
          <w:numId w:val="10"/>
        </w:numPr>
        <w:spacing w:before="1" w:after="240" w:line="242" w:lineRule="auto"/>
        <w:ind w:left="709" w:right="960" w:hanging="283"/>
        <w:jc w:val="both"/>
        <w:rPr>
          <w:rFonts w:ascii="Arial" w:hAnsi="Arial" w:cs="Arial"/>
          <w:b/>
          <w:bCs/>
          <w:lang w:val="en-GB"/>
        </w:rPr>
      </w:pPr>
      <w:r>
        <w:rPr>
          <w:rFonts w:ascii="Arial" w:eastAsiaTheme="minorHAnsi" w:hAnsi="Arial" w:cs="Arial"/>
          <w:b/>
          <w:bCs/>
          <w:color w:val="1A1A1A"/>
          <w:lang w:val="en-GB"/>
        </w:rPr>
        <w:t>Application of LCIV’s RI Matrix</w:t>
      </w:r>
    </w:p>
    <w:p w14:paraId="5C9C3939" w14:textId="1683D709" w:rsidR="0046304B" w:rsidRDefault="0046304B" w:rsidP="0032632E">
      <w:pPr>
        <w:pStyle w:val="BodyText"/>
        <w:spacing w:before="1" w:after="240" w:line="242" w:lineRule="auto"/>
        <w:ind w:left="375" w:right="960"/>
        <w:jc w:val="both"/>
        <w:rPr>
          <w:rFonts w:ascii="Arial" w:hAnsi="Arial" w:cs="Arial"/>
          <w:lang w:val="en-GB"/>
        </w:rPr>
      </w:pPr>
      <w:r w:rsidRPr="0046304B">
        <w:rPr>
          <w:rFonts w:ascii="Arial" w:hAnsi="Arial" w:cs="Arial"/>
          <w:lang w:val="en-GB"/>
        </w:rPr>
        <w:t xml:space="preserve">From April 2026, investment selection and implementation will be undertaken by </w:t>
      </w:r>
      <w:r>
        <w:rPr>
          <w:rFonts w:ascii="Arial" w:hAnsi="Arial" w:cs="Arial"/>
          <w:lang w:val="en-GB"/>
        </w:rPr>
        <w:t>LCIV. The</w:t>
      </w:r>
      <w:r w:rsidRPr="0046304B">
        <w:rPr>
          <w:rFonts w:ascii="Arial" w:hAnsi="Arial" w:cs="Arial"/>
          <w:lang w:val="en-GB"/>
        </w:rPr>
        <w:t xml:space="preserve"> Fund will retain ownership of its </w:t>
      </w:r>
      <w:r w:rsidR="009C5B47">
        <w:rPr>
          <w:rFonts w:ascii="Arial" w:hAnsi="Arial" w:cs="Arial"/>
          <w:lang w:val="en-GB"/>
        </w:rPr>
        <w:t>RI</w:t>
      </w:r>
      <w:r w:rsidRPr="0046304B">
        <w:rPr>
          <w:rFonts w:ascii="Arial" w:hAnsi="Arial" w:cs="Arial"/>
          <w:lang w:val="en-GB"/>
        </w:rPr>
        <w:t xml:space="preserve"> Policy and will work with LCIV to ensure its principles are appropriately reflected</w:t>
      </w:r>
      <w:r>
        <w:rPr>
          <w:rFonts w:ascii="Arial" w:hAnsi="Arial" w:cs="Arial"/>
          <w:lang w:val="en-GB"/>
        </w:rPr>
        <w:t>.</w:t>
      </w:r>
    </w:p>
    <w:p w14:paraId="62BE80FD" w14:textId="356E4618" w:rsidR="00AA50EC" w:rsidRDefault="00CF407C" w:rsidP="0032632E">
      <w:pPr>
        <w:pStyle w:val="BodyText"/>
        <w:spacing w:before="1" w:after="240" w:line="242" w:lineRule="auto"/>
        <w:ind w:left="375" w:right="960"/>
        <w:jc w:val="both"/>
        <w:rPr>
          <w:rFonts w:ascii="Arial" w:hAnsi="Arial" w:cs="Arial"/>
          <w:lang w:val="en-GB"/>
        </w:rPr>
      </w:pPr>
      <w:r>
        <w:rPr>
          <w:rFonts w:ascii="Arial" w:hAnsi="Arial" w:cs="Arial"/>
          <w:lang w:val="en-GB"/>
        </w:rPr>
        <w:t>T</w:t>
      </w:r>
      <w:r w:rsidR="00AA50EC" w:rsidRPr="0024621F">
        <w:rPr>
          <w:rFonts w:ascii="Arial" w:hAnsi="Arial" w:cs="Arial"/>
          <w:lang w:val="en-GB"/>
        </w:rPr>
        <w:t xml:space="preserve">he Fund </w:t>
      </w:r>
      <w:r w:rsidR="001D6188">
        <w:rPr>
          <w:rFonts w:ascii="Arial" w:hAnsi="Arial" w:cs="Arial"/>
          <w:lang w:val="en-GB"/>
        </w:rPr>
        <w:t>will need</w:t>
      </w:r>
      <w:r w:rsidR="00AA50EC" w:rsidRPr="0024621F">
        <w:rPr>
          <w:rFonts w:ascii="Arial" w:hAnsi="Arial" w:cs="Arial"/>
          <w:lang w:val="en-GB"/>
        </w:rPr>
        <w:t xml:space="preserve"> to implement its responsible investment priorities through LCIV</w:t>
      </w:r>
      <w:r w:rsidR="00AA50EC">
        <w:rPr>
          <w:rFonts w:ascii="Arial" w:hAnsi="Arial" w:cs="Arial"/>
          <w:lang w:val="en-GB"/>
        </w:rPr>
        <w:t xml:space="preserve"> </w:t>
      </w:r>
      <w:r w:rsidR="00AA50EC" w:rsidRPr="0024621F">
        <w:rPr>
          <w:rFonts w:ascii="Arial" w:hAnsi="Arial" w:cs="Arial"/>
          <w:lang w:val="en-GB"/>
        </w:rPr>
        <w:t xml:space="preserve">leveraging </w:t>
      </w:r>
      <w:r w:rsidR="00A32857">
        <w:rPr>
          <w:rFonts w:ascii="Arial" w:hAnsi="Arial" w:cs="Arial"/>
          <w:lang w:val="en-GB"/>
        </w:rPr>
        <w:t>LCIV’s</w:t>
      </w:r>
      <w:r w:rsidR="00AA50EC">
        <w:rPr>
          <w:rFonts w:ascii="Arial" w:hAnsi="Arial" w:cs="Arial"/>
          <w:lang w:val="en-GB"/>
        </w:rPr>
        <w:t xml:space="preserve"> </w:t>
      </w:r>
      <w:r w:rsidR="00AA50EC" w:rsidRPr="0024621F">
        <w:rPr>
          <w:rFonts w:ascii="Arial" w:hAnsi="Arial" w:cs="Arial"/>
          <w:lang w:val="en-GB"/>
        </w:rPr>
        <w:t xml:space="preserve">stewardship activities, engagement programmes, and product offerings to advance </w:t>
      </w:r>
      <w:r w:rsidR="00AA50EC">
        <w:rPr>
          <w:rFonts w:ascii="Arial" w:hAnsi="Arial" w:cs="Arial"/>
          <w:lang w:val="en-GB"/>
        </w:rPr>
        <w:t>our</w:t>
      </w:r>
      <w:r w:rsidR="00AA50EC" w:rsidRPr="0024621F">
        <w:rPr>
          <w:rFonts w:ascii="Arial" w:hAnsi="Arial" w:cs="Arial"/>
          <w:lang w:val="en-GB"/>
        </w:rPr>
        <w:t xml:space="preserve"> commitments on </w:t>
      </w:r>
      <w:r w:rsidR="00AA50EC">
        <w:rPr>
          <w:rFonts w:ascii="Arial" w:hAnsi="Arial" w:cs="Arial"/>
          <w:lang w:val="en-GB"/>
        </w:rPr>
        <w:t xml:space="preserve">climate change, conflict zones, </w:t>
      </w:r>
      <w:r w:rsidR="00AA50EC" w:rsidRPr="0024621F">
        <w:rPr>
          <w:rFonts w:ascii="Arial" w:hAnsi="Arial" w:cs="Arial"/>
          <w:lang w:val="en-GB"/>
        </w:rPr>
        <w:t xml:space="preserve">human rights, diversity, and other ESG themes. </w:t>
      </w:r>
    </w:p>
    <w:p w14:paraId="0DEF672F" w14:textId="62EC50C3" w:rsidR="001B5E44" w:rsidRDefault="009D264B" w:rsidP="0032632E">
      <w:pPr>
        <w:pStyle w:val="BodyText"/>
        <w:spacing w:before="1" w:after="240" w:line="242" w:lineRule="auto"/>
        <w:ind w:left="375" w:right="960"/>
        <w:jc w:val="both"/>
        <w:rPr>
          <w:rFonts w:ascii="Arial" w:hAnsi="Arial" w:cs="Arial"/>
          <w:lang w:val="en-GB"/>
        </w:rPr>
      </w:pPr>
      <w:r w:rsidRPr="009D264B">
        <w:rPr>
          <w:rFonts w:ascii="Arial" w:hAnsi="Arial" w:cs="Arial"/>
          <w:lang w:val="en-GB"/>
        </w:rPr>
        <w:t>LCIV’s Responsible Investment (RI) Matrix establishes the governance framework through which RI priorities are operationalised across all investment activities.</w:t>
      </w:r>
      <w:r w:rsidR="00F37F1B">
        <w:rPr>
          <w:rFonts w:ascii="Arial" w:hAnsi="Arial" w:cs="Arial"/>
          <w:lang w:val="en-GB"/>
        </w:rPr>
        <w:t xml:space="preserve"> S</w:t>
      </w:r>
      <w:r>
        <w:rPr>
          <w:rFonts w:ascii="Arial" w:hAnsi="Arial" w:cs="Arial"/>
          <w:lang w:val="en-GB"/>
        </w:rPr>
        <w:t xml:space="preserve">tream three of the RI matrix includes restrictions/exclusions in respect of </w:t>
      </w:r>
      <w:r w:rsidR="001B5E44">
        <w:rPr>
          <w:rFonts w:ascii="Arial" w:hAnsi="Arial" w:cs="Arial"/>
          <w:lang w:val="en-GB"/>
        </w:rPr>
        <w:t>various RI priorities we have outlined in th</w:t>
      </w:r>
      <w:r w:rsidR="00F37F1B">
        <w:rPr>
          <w:rFonts w:ascii="Arial" w:hAnsi="Arial" w:cs="Arial"/>
          <w:lang w:val="en-GB"/>
        </w:rPr>
        <w:t>is</w:t>
      </w:r>
      <w:r w:rsidR="001B5E44">
        <w:rPr>
          <w:rFonts w:ascii="Arial" w:hAnsi="Arial" w:cs="Arial"/>
          <w:lang w:val="en-GB"/>
        </w:rPr>
        <w:t xml:space="preserve"> Policy. </w:t>
      </w:r>
    </w:p>
    <w:p w14:paraId="109AB1B8" w14:textId="73E209B5" w:rsidR="001B5E44" w:rsidRDefault="001B5E44" w:rsidP="0032632E">
      <w:pPr>
        <w:pStyle w:val="BodyText"/>
        <w:spacing w:before="1" w:after="240" w:line="242" w:lineRule="auto"/>
        <w:ind w:left="375" w:right="960"/>
        <w:jc w:val="both"/>
        <w:rPr>
          <w:rFonts w:ascii="Arial" w:hAnsi="Arial" w:cs="Arial"/>
          <w:lang w:val="en-GB"/>
        </w:rPr>
      </w:pPr>
      <w:r>
        <w:rPr>
          <w:rFonts w:ascii="Arial" w:hAnsi="Arial" w:cs="Arial"/>
          <w:lang w:val="en-GB"/>
        </w:rPr>
        <w:t xml:space="preserve">By opting into </w:t>
      </w:r>
      <w:r w:rsidR="00426361">
        <w:rPr>
          <w:rFonts w:ascii="Arial" w:hAnsi="Arial" w:cs="Arial"/>
          <w:lang w:val="en-GB"/>
        </w:rPr>
        <w:t>s</w:t>
      </w:r>
      <w:r>
        <w:rPr>
          <w:rFonts w:ascii="Arial" w:hAnsi="Arial" w:cs="Arial"/>
          <w:lang w:val="en-GB"/>
        </w:rPr>
        <w:t xml:space="preserve">tream three, </w:t>
      </w:r>
      <w:r w:rsidR="009D264B" w:rsidRPr="009D264B">
        <w:rPr>
          <w:rFonts w:ascii="Arial" w:hAnsi="Arial" w:cs="Arial"/>
          <w:lang w:val="en-GB"/>
        </w:rPr>
        <w:t>the Fund confirms its alignment with LCIV’s priorities on climate action, net</w:t>
      </w:r>
      <w:r w:rsidR="009D264B" w:rsidRPr="009D264B">
        <w:rPr>
          <w:rFonts w:ascii="Cambria Math" w:hAnsi="Cambria Math" w:cs="Cambria Math"/>
          <w:lang w:val="en-GB"/>
        </w:rPr>
        <w:t>‑</w:t>
      </w:r>
      <w:r w:rsidR="009D264B" w:rsidRPr="009D264B">
        <w:rPr>
          <w:rFonts w:ascii="Arial" w:hAnsi="Arial" w:cs="Arial"/>
          <w:lang w:val="en-GB"/>
        </w:rPr>
        <w:t xml:space="preserve">zero transition, and wider sustainability themes, including the protection and promotion of human rights. </w:t>
      </w:r>
    </w:p>
    <w:p w14:paraId="41674E9D" w14:textId="456ADDBE" w:rsidR="00AA50EC" w:rsidRPr="0024621F" w:rsidRDefault="00426361" w:rsidP="0032632E">
      <w:pPr>
        <w:pStyle w:val="BodyText"/>
        <w:spacing w:before="1" w:after="240" w:line="242" w:lineRule="auto"/>
        <w:ind w:left="375" w:right="960"/>
        <w:jc w:val="both"/>
        <w:rPr>
          <w:rFonts w:ascii="Arial" w:hAnsi="Arial" w:cs="Arial"/>
          <w:lang w:val="en-GB"/>
        </w:rPr>
      </w:pPr>
      <w:r>
        <w:rPr>
          <w:rFonts w:ascii="Arial" w:hAnsi="Arial" w:cs="Arial"/>
          <w:lang w:val="en-GB"/>
        </w:rPr>
        <w:t xml:space="preserve">The </w:t>
      </w:r>
      <w:r w:rsidR="001B5E44">
        <w:rPr>
          <w:rFonts w:ascii="Arial" w:hAnsi="Arial" w:cs="Arial"/>
          <w:lang w:val="en-GB"/>
        </w:rPr>
        <w:t xml:space="preserve">Fund expects LCIV to implement its RI priorities through </w:t>
      </w:r>
      <w:r w:rsidR="00AA50EC" w:rsidRPr="0024621F">
        <w:rPr>
          <w:rFonts w:ascii="Arial" w:hAnsi="Arial" w:cs="Arial"/>
          <w:lang w:val="en-GB"/>
        </w:rPr>
        <w:t xml:space="preserve">suitable products and strategies </w:t>
      </w:r>
      <w:r w:rsidR="001B5E44">
        <w:rPr>
          <w:rFonts w:ascii="Arial" w:hAnsi="Arial" w:cs="Arial"/>
          <w:lang w:val="en-GB"/>
        </w:rPr>
        <w:t xml:space="preserve">developed in alignment with the RI Matrix. </w:t>
      </w:r>
    </w:p>
    <w:p w14:paraId="333FBBAC" w14:textId="77777777" w:rsidR="00AA50EC" w:rsidRPr="0024621F" w:rsidRDefault="00AA50EC" w:rsidP="0032632E">
      <w:pPr>
        <w:pStyle w:val="BodyText"/>
        <w:spacing w:before="1" w:after="240" w:line="242" w:lineRule="auto"/>
        <w:ind w:left="375" w:right="960"/>
        <w:jc w:val="both"/>
        <w:rPr>
          <w:rFonts w:ascii="Arial" w:hAnsi="Arial" w:cs="Arial"/>
          <w:lang w:val="en-GB"/>
        </w:rPr>
      </w:pPr>
      <w:r w:rsidRPr="0024621F">
        <w:rPr>
          <w:rFonts w:ascii="Arial" w:hAnsi="Arial" w:cs="Arial"/>
          <w:lang w:val="en-GB"/>
        </w:rPr>
        <w:t xml:space="preserve">However, </w:t>
      </w:r>
      <w:r>
        <w:rPr>
          <w:rFonts w:ascii="Arial" w:hAnsi="Arial" w:cs="Arial"/>
          <w:lang w:val="en-GB"/>
        </w:rPr>
        <w:t xml:space="preserve">the Fund’s </w:t>
      </w:r>
      <w:r w:rsidRPr="0024621F">
        <w:rPr>
          <w:rFonts w:ascii="Arial" w:hAnsi="Arial" w:cs="Arial"/>
          <w:lang w:val="en-GB"/>
        </w:rPr>
        <w:t>ability to fully implement these focus areas may be constrained if LCIV does not offer appropriate products or solutions. In such cases, the Fund will:</w:t>
      </w:r>
    </w:p>
    <w:p w14:paraId="2F0F78C5" w14:textId="77777777" w:rsidR="00AA50EC" w:rsidRPr="005C74F5" w:rsidRDefault="00AA50EC" w:rsidP="0032632E">
      <w:pPr>
        <w:pStyle w:val="BodyText"/>
        <w:numPr>
          <w:ilvl w:val="0"/>
          <w:numId w:val="12"/>
        </w:numPr>
        <w:spacing w:before="1" w:after="240" w:line="242" w:lineRule="auto"/>
        <w:ind w:right="960"/>
        <w:jc w:val="both"/>
        <w:rPr>
          <w:rFonts w:ascii="Arial" w:hAnsi="Arial" w:cs="Arial"/>
          <w:lang w:val="en-GB"/>
        </w:rPr>
      </w:pPr>
      <w:r w:rsidRPr="006A1D0D">
        <w:rPr>
          <w:rFonts w:ascii="Arial" w:hAnsi="Arial" w:cs="Arial"/>
          <w:lang w:val="en-GB"/>
        </w:rPr>
        <w:t>Engage with LCIV</w:t>
      </w:r>
      <w:r w:rsidRPr="005C74F5">
        <w:rPr>
          <w:rFonts w:ascii="Arial" w:hAnsi="Arial" w:cs="Arial"/>
          <w:lang w:val="en-GB"/>
        </w:rPr>
        <w:t xml:space="preserve"> to advocate for the development of products and strategies that reflect our responsible investment priorities.</w:t>
      </w:r>
    </w:p>
    <w:p w14:paraId="7F98FBBF" w14:textId="77777777" w:rsidR="00AA50EC" w:rsidRPr="005C74F5" w:rsidRDefault="00AA50EC" w:rsidP="0032632E">
      <w:pPr>
        <w:pStyle w:val="BodyText"/>
        <w:numPr>
          <w:ilvl w:val="0"/>
          <w:numId w:val="12"/>
        </w:numPr>
        <w:spacing w:before="1" w:after="240" w:line="242" w:lineRule="auto"/>
        <w:ind w:right="960"/>
        <w:jc w:val="both"/>
        <w:rPr>
          <w:rFonts w:ascii="Arial" w:hAnsi="Arial" w:cs="Arial"/>
          <w:lang w:val="en-GB"/>
        </w:rPr>
      </w:pPr>
      <w:r w:rsidRPr="006A1D0D">
        <w:rPr>
          <w:rFonts w:ascii="Arial" w:hAnsi="Arial" w:cs="Arial"/>
          <w:lang w:val="en-GB"/>
        </w:rPr>
        <w:t>Escalate through formal channels</w:t>
      </w:r>
      <w:r w:rsidRPr="005C74F5">
        <w:rPr>
          <w:rFonts w:ascii="Arial" w:hAnsi="Arial" w:cs="Arial"/>
          <w:lang w:val="en-GB"/>
        </w:rPr>
        <w:t>, including raising the issue at LCIV governance forums.</w:t>
      </w:r>
    </w:p>
    <w:p w14:paraId="2AFEDAF4" w14:textId="77777777" w:rsidR="00AA50EC" w:rsidRDefault="00AA50EC" w:rsidP="0032632E">
      <w:pPr>
        <w:pStyle w:val="BodyText"/>
        <w:numPr>
          <w:ilvl w:val="0"/>
          <w:numId w:val="12"/>
        </w:numPr>
        <w:spacing w:before="1" w:after="240" w:line="242" w:lineRule="auto"/>
        <w:ind w:right="960"/>
        <w:jc w:val="both"/>
        <w:rPr>
          <w:rFonts w:ascii="Arial" w:hAnsi="Arial" w:cs="Arial"/>
          <w:lang w:val="en-GB"/>
        </w:rPr>
      </w:pPr>
      <w:r w:rsidRPr="006A1D0D">
        <w:rPr>
          <w:rFonts w:ascii="Arial" w:hAnsi="Arial" w:cs="Arial"/>
          <w:lang w:val="en-GB"/>
        </w:rPr>
        <w:t xml:space="preserve">Collaborate with other </w:t>
      </w:r>
      <w:r>
        <w:rPr>
          <w:rFonts w:ascii="Arial" w:hAnsi="Arial" w:cs="Arial"/>
          <w:lang w:val="en-GB"/>
        </w:rPr>
        <w:t xml:space="preserve">LGPS </w:t>
      </w:r>
      <w:r w:rsidRPr="006A1D0D">
        <w:rPr>
          <w:rFonts w:ascii="Arial" w:hAnsi="Arial" w:cs="Arial"/>
          <w:lang w:val="en-GB"/>
        </w:rPr>
        <w:t>funds</w:t>
      </w:r>
      <w:r w:rsidRPr="005C74F5">
        <w:rPr>
          <w:rFonts w:ascii="Arial" w:hAnsi="Arial" w:cs="Arial"/>
          <w:lang w:val="en-GB"/>
        </w:rPr>
        <w:t xml:space="preserve"> to strengthen the case for product development and influence LCIV’s roadmap.</w:t>
      </w:r>
    </w:p>
    <w:p w14:paraId="68C4BDA5" w14:textId="3A37C88B" w:rsidR="007D20D1" w:rsidRDefault="00BA737E" w:rsidP="0032632E">
      <w:pPr>
        <w:pStyle w:val="BodyText"/>
        <w:spacing w:before="1" w:after="240" w:line="242" w:lineRule="auto"/>
        <w:ind w:left="360" w:right="960"/>
        <w:jc w:val="both"/>
        <w:rPr>
          <w:rFonts w:ascii="Arial" w:hAnsi="Arial" w:cs="Arial"/>
          <w:lang w:val="en-GB"/>
        </w:rPr>
      </w:pPr>
      <w:r>
        <w:rPr>
          <w:rFonts w:ascii="Arial" w:hAnsi="Arial" w:cs="Arial"/>
          <w:lang w:val="en-GB"/>
        </w:rPr>
        <w:t>The</w:t>
      </w:r>
      <w:r w:rsidR="00816A7B" w:rsidRPr="00816A7B">
        <w:rPr>
          <w:rFonts w:ascii="Arial" w:hAnsi="Arial" w:cs="Arial"/>
          <w:lang w:val="en-GB"/>
        </w:rPr>
        <w:t xml:space="preserve"> Fund expects LCIV to provide regular and transparent reporting that covers both financial </w:t>
      </w:r>
      <w:r w:rsidR="00816A7B" w:rsidRPr="00816A7B">
        <w:rPr>
          <w:rFonts w:ascii="Arial" w:hAnsi="Arial" w:cs="Arial"/>
          <w:lang w:val="en-GB"/>
        </w:rPr>
        <w:lastRenderedPageBreak/>
        <w:t>performance and RI matters, ensuring sufficient visibility over how its assets are being managed and how RI commitments are being implemented in practice</w:t>
      </w:r>
      <w:r w:rsidR="00816A7B">
        <w:rPr>
          <w:rFonts w:ascii="Arial" w:hAnsi="Arial" w:cs="Arial"/>
          <w:lang w:val="en-GB"/>
        </w:rPr>
        <w:t>.</w:t>
      </w:r>
    </w:p>
    <w:p w14:paraId="2F3B4013" w14:textId="77777777" w:rsidR="00572452" w:rsidRPr="006A1D0D" w:rsidRDefault="00572452" w:rsidP="0032632E">
      <w:pPr>
        <w:pStyle w:val="BodyText"/>
        <w:numPr>
          <w:ilvl w:val="0"/>
          <w:numId w:val="10"/>
        </w:numPr>
        <w:spacing w:before="1" w:after="240" w:line="242" w:lineRule="auto"/>
        <w:ind w:left="709" w:right="960" w:hanging="283"/>
        <w:jc w:val="both"/>
        <w:rPr>
          <w:rFonts w:ascii="Arial" w:eastAsiaTheme="minorHAnsi" w:hAnsi="Arial" w:cs="Arial"/>
          <w:b/>
          <w:bCs/>
          <w:color w:val="1A1A1A"/>
          <w:lang w:val="en-GB"/>
        </w:rPr>
      </w:pPr>
      <w:r w:rsidRPr="006A1D0D">
        <w:rPr>
          <w:rFonts w:ascii="Arial" w:eastAsiaTheme="minorHAnsi" w:hAnsi="Arial" w:cs="Arial"/>
          <w:b/>
          <w:bCs/>
          <w:color w:val="1A1A1A"/>
          <w:lang w:val="en-GB"/>
        </w:rPr>
        <w:t xml:space="preserve">Monitoring &amp; Disclosure </w:t>
      </w:r>
    </w:p>
    <w:p w14:paraId="451368E8" w14:textId="77777777" w:rsidR="00456AA0" w:rsidRDefault="00572452" w:rsidP="0032632E">
      <w:pPr>
        <w:widowControl/>
        <w:adjustRightInd w:val="0"/>
        <w:spacing w:before="240" w:after="240"/>
        <w:ind w:left="375" w:right="912"/>
        <w:jc w:val="both"/>
        <w:rPr>
          <w:rFonts w:ascii="Arial" w:hAnsi="Arial" w:cs="Arial"/>
          <w:lang w:val="en-GB"/>
        </w:rPr>
      </w:pPr>
      <w:r>
        <w:rPr>
          <w:rFonts w:ascii="Arial" w:hAnsi="Arial" w:cs="Arial"/>
          <w:lang w:val="en-GB"/>
        </w:rPr>
        <w:t xml:space="preserve">Since 2017, the Fund has been proactively disclosing the carbon footprint of its investments. </w:t>
      </w:r>
    </w:p>
    <w:p w14:paraId="0C8309CC" w14:textId="3C7062CA" w:rsidR="0010310D" w:rsidRDefault="00572452" w:rsidP="0032632E">
      <w:pPr>
        <w:widowControl/>
        <w:adjustRightInd w:val="0"/>
        <w:spacing w:before="240" w:after="240"/>
        <w:ind w:left="375" w:right="912"/>
        <w:jc w:val="both"/>
        <w:rPr>
          <w:rFonts w:ascii="Arial" w:hAnsi="Arial" w:cs="Arial"/>
          <w:lang w:val="en-GB"/>
        </w:rPr>
      </w:pPr>
      <w:r w:rsidRPr="00841F3A">
        <w:rPr>
          <w:rFonts w:ascii="Arial" w:hAnsi="Arial" w:cs="Arial"/>
          <w:lang w:val="en-GB"/>
        </w:rPr>
        <w:t xml:space="preserve">The Fund </w:t>
      </w:r>
      <w:r>
        <w:rPr>
          <w:rFonts w:ascii="Arial" w:hAnsi="Arial" w:cs="Arial"/>
          <w:lang w:val="en-GB"/>
        </w:rPr>
        <w:t xml:space="preserve">will continue to </w:t>
      </w:r>
      <w:r w:rsidRPr="00841F3A">
        <w:rPr>
          <w:rFonts w:ascii="Arial" w:hAnsi="Arial" w:cs="Arial"/>
          <w:lang w:val="en-GB"/>
        </w:rPr>
        <w:t>take a leadership role on transparency and disclosure and will report its responsible investment activities, progress and outcomes to all stakeholders through the Fund’s website</w:t>
      </w:r>
      <w:r w:rsidR="00FA76C6">
        <w:rPr>
          <w:rFonts w:ascii="Arial" w:hAnsi="Arial" w:cs="Arial"/>
          <w:lang w:val="en-GB"/>
        </w:rPr>
        <w:t xml:space="preserve"> </w:t>
      </w:r>
      <w:r>
        <w:rPr>
          <w:rFonts w:ascii="Arial" w:hAnsi="Arial" w:cs="Arial"/>
          <w:lang w:val="en-GB"/>
        </w:rPr>
        <w:t>and/or relevant reports</w:t>
      </w:r>
      <w:r w:rsidR="00FA76C6">
        <w:rPr>
          <w:rFonts w:ascii="Arial" w:hAnsi="Arial" w:cs="Arial"/>
          <w:lang w:val="en-GB"/>
        </w:rPr>
        <w:t xml:space="preserve"> prepared as</w:t>
      </w:r>
      <w:r>
        <w:rPr>
          <w:rFonts w:ascii="Arial" w:hAnsi="Arial" w:cs="Arial"/>
          <w:lang w:val="en-GB"/>
        </w:rPr>
        <w:t xml:space="preserve"> part of the governance</w:t>
      </w:r>
      <w:r w:rsidR="00EA0C4D">
        <w:rPr>
          <w:rFonts w:ascii="Arial" w:hAnsi="Arial" w:cs="Arial"/>
          <w:lang w:val="en-GB"/>
        </w:rPr>
        <w:t xml:space="preserve"> and oversight undertaken by</w:t>
      </w:r>
      <w:r w:rsidR="002135E4">
        <w:rPr>
          <w:rFonts w:ascii="Arial" w:hAnsi="Arial" w:cs="Arial"/>
          <w:lang w:val="en-GB"/>
        </w:rPr>
        <w:t xml:space="preserve"> the PAP and LPB. </w:t>
      </w:r>
      <w:r w:rsidR="00EA0C4D">
        <w:rPr>
          <w:rFonts w:ascii="Arial" w:hAnsi="Arial" w:cs="Arial"/>
          <w:lang w:val="en-GB"/>
        </w:rPr>
        <w:t xml:space="preserve"> </w:t>
      </w:r>
    </w:p>
    <w:p w14:paraId="089AF1B1" w14:textId="0D56BE6E" w:rsidR="00ED2FD4" w:rsidRPr="00841F3A" w:rsidRDefault="00ED2FD4" w:rsidP="0032632E">
      <w:pPr>
        <w:widowControl/>
        <w:adjustRightInd w:val="0"/>
        <w:spacing w:before="240" w:after="240"/>
        <w:ind w:left="375" w:right="912"/>
        <w:jc w:val="both"/>
        <w:rPr>
          <w:rFonts w:ascii="Arial" w:hAnsi="Arial" w:cs="Arial"/>
          <w:b/>
          <w:lang w:val="en-GB"/>
        </w:rPr>
      </w:pPr>
    </w:p>
    <w:sectPr w:rsidR="00ED2FD4" w:rsidRPr="00841F3A" w:rsidSect="00816A7B">
      <w:headerReference w:type="default" r:id="rId9"/>
      <w:footerReference w:type="default" r:id="rId10"/>
      <w:pgSz w:w="11910" w:h="16840"/>
      <w:pgMar w:top="1276" w:right="600" w:bottom="1418" w:left="900" w:header="288"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DCAF" w14:textId="77777777" w:rsidR="00491E71" w:rsidRDefault="00491E71">
      <w:r>
        <w:separator/>
      </w:r>
    </w:p>
  </w:endnote>
  <w:endnote w:type="continuationSeparator" w:id="0">
    <w:p w14:paraId="7D9A87DC" w14:textId="77777777" w:rsidR="00491E71" w:rsidRDefault="0049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79A" w14:textId="77777777" w:rsidR="009F5861" w:rsidRDefault="009F586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461E" w14:textId="77777777" w:rsidR="00491E71" w:rsidRDefault="00491E71">
      <w:r>
        <w:separator/>
      </w:r>
    </w:p>
  </w:footnote>
  <w:footnote w:type="continuationSeparator" w:id="0">
    <w:p w14:paraId="553AEAD9" w14:textId="77777777" w:rsidR="00491E71" w:rsidRDefault="00491E71">
      <w:r>
        <w:continuationSeparator/>
      </w:r>
    </w:p>
  </w:footnote>
  <w:footnote w:id="1">
    <w:p w14:paraId="083DA30A" w14:textId="3107B47A" w:rsidR="006A6513" w:rsidRPr="00A32857" w:rsidRDefault="006A6513">
      <w:pPr>
        <w:pStyle w:val="FootnoteText"/>
        <w:rPr>
          <w:rFonts w:asciiTheme="minorBidi" w:hAnsiTheme="minorBidi" w:cstheme="minorBidi"/>
          <w:sz w:val="16"/>
          <w:szCs w:val="16"/>
          <w:lang w:val="en-GB"/>
        </w:rPr>
      </w:pPr>
      <w:r w:rsidRPr="00A32857">
        <w:rPr>
          <w:rStyle w:val="FootnoteReference"/>
          <w:rFonts w:asciiTheme="minorBidi" w:hAnsiTheme="minorBidi" w:cstheme="minorBidi"/>
          <w:sz w:val="16"/>
          <w:szCs w:val="16"/>
        </w:rPr>
        <w:footnoteRef/>
      </w:r>
      <w:r w:rsidRPr="00A32857">
        <w:rPr>
          <w:rFonts w:asciiTheme="minorBidi" w:hAnsiTheme="minorBidi" w:cstheme="minorBidi"/>
          <w:sz w:val="16"/>
          <w:szCs w:val="16"/>
        </w:rPr>
        <w:t xml:space="preserve"> https://www.international.gc.ca/world-monde/stories-histoires/2024/2024-11-13-conflict-zone-conflit.aspx?lang=eng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6C12" w14:textId="795B63AE" w:rsidR="009F5861" w:rsidRDefault="00F11D8E" w:rsidP="004B7F7E">
    <w:pPr>
      <w:pStyle w:val="BodyText"/>
      <w:spacing w:line="14" w:lineRule="auto"/>
      <w:ind w:left="8640"/>
      <w:rPr>
        <w:sz w:val="2"/>
      </w:rPr>
    </w:pPr>
    <w:r>
      <w:rPr>
        <w:noProof/>
        <w:sz w:val="2"/>
      </w:rPr>
      <w:drawing>
        <wp:inline distT="0" distB="0" distL="0" distR="0" wp14:anchorId="6D965461" wp14:editId="7A954294">
          <wp:extent cx="635431" cy="422850"/>
          <wp:effectExtent l="0" t="0" r="0" b="0"/>
          <wp:docPr id="330796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73" cy="4441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04A5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A368D"/>
    <w:multiLevelType w:val="hybridMultilevel"/>
    <w:tmpl w:val="1D00CD9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2A60666F"/>
    <w:multiLevelType w:val="multilevel"/>
    <w:tmpl w:val="D7903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C415A"/>
    <w:multiLevelType w:val="hybridMultilevel"/>
    <w:tmpl w:val="94540216"/>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48F764A4"/>
    <w:multiLevelType w:val="multilevel"/>
    <w:tmpl w:val="9B2084FE"/>
    <w:lvl w:ilvl="0">
      <w:start w:val="3"/>
      <w:numFmt w:val="decimal"/>
      <w:lvlText w:val="%1"/>
      <w:lvlJc w:val="left"/>
      <w:pPr>
        <w:ind w:left="360" w:hanging="360"/>
      </w:pPr>
      <w:rPr>
        <w:rFonts w:hint="default"/>
      </w:rPr>
    </w:lvl>
    <w:lvl w:ilvl="1">
      <w:start w:val="1"/>
      <w:numFmt w:val="decimal"/>
      <w:lvlText w:val="%1.%2"/>
      <w:lvlJc w:val="left"/>
      <w:pPr>
        <w:ind w:left="735" w:hanging="360"/>
      </w:pPr>
      <w:rPr>
        <w:rFonts w:hint="default"/>
        <w:b/>
        <w:bCs w:val="0"/>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 w15:restartNumberingAfterBreak="0">
    <w:nsid w:val="522F2C50"/>
    <w:multiLevelType w:val="hybridMultilevel"/>
    <w:tmpl w:val="5C72E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6" w15:restartNumberingAfterBreak="0">
    <w:nsid w:val="53786911"/>
    <w:multiLevelType w:val="hybridMultilevel"/>
    <w:tmpl w:val="7952999A"/>
    <w:lvl w:ilvl="0" w:tplc="40F2F05E">
      <w:start w:val="1"/>
      <w:numFmt w:val="decimal"/>
      <w:lvlText w:val="%1."/>
      <w:lvlJc w:val="left"/>
      <w:pPr>
        <w:ind w:left="1095" w:hanging="360"/>
      </w:pPr>
      <w:rPr>
        <w:b/>
        <w:bCs/>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15:restartNumberingAfterBreak="0">
    <w:nsid w:val="58422C32"/>
    <w:multiLevelType w:val="hybridMultilevel"/>
    <w:tmpl w:val="5C18A16E"/>
    <w:lvl w:ilvl="0" w:tplc="821E34E4">
      <w:start w:val="1"/>
      <w:numFmt w:val="decimal"/>
      <w:lvlText w:val="%1."/>
      <w:lvlJc w:val="left"/>
      <w:pPr>
        <w:ind w:left="735" w:hanging="360"/>
      </w:pPr>
      <w:rPr>
        <w:rFonts w:hint="default"/>
      </w:rPr>
    </w:lvl>
    <w:lvl w:ilvl="1" w:tplc="08090019">
      <w:start w:val="1"/>
      <w:numFmt w:val="lowerLetter"/>
      <w:lvlText w:val="%2."/>
      <w:lvlJc w:val="left"/>
      <w:pPr>
        <w:ind w:left="1455" w:hanging="360"/>
      </w:pPr>
    </w:lvl>
    <w:lvl w:ilvl="2" w:tplc="0809001B">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8" w15:restartNumberingAfterBreak="0">
    <w:nsid w:val="624E17D5"/>
    <w:multiLevelType w:val="multilevel"/>
    <w:tmpl w:val="EA707E8A"/>
    <w:lvl w:ilvl="0">
      <w:start w:val="1"/>
      <w:numFmt w:val="decimal"/>
      <w:lvlText w:val="%1"/>
      <w:lvlJc w:val="left"/>
      <w:pPr>
        <w:ind w:left="496" w:hanging="122"/>
      </w:pPr>
      <w:rPr>
        <w:rFonts w:ascii="Roboto Lt" w:eastAsia="Roboto Lt" w:hAnsi="Roboto Lt" w:cs="Roboto Lt" w:hint="default"/>
        <w:w w:val="99"/>
        <w:position w:val="7"/>
        <w:sz w:val="13"/>
        <w:szCs w:val="13"/>
        <w:lang w:val="en-US" w:eastAsia="en-US" w:bidi="ar-SA"/>
      </w:rPr>
    </w:lvl>
    <w:lvl w:ilvl="1">
      <w:start w:val="1"/>
      <w:numFmt w:val="decimal"/>
      <w:lvlText w:val="%2"/>
      <w:lvlJc w:val="left"/>
      <w:pPr>
        <w:ind w:left="1478" w:hanging="677"/>
        <w:jc w:val="right"/>
      </w:pPr>
      <w:rPr>
        <w:rFonts w:ascii="Tahoma" w:eastAsia="Tahoma" w:hAnsi="Tahoma" w:cs="Tahoma" w:hint="default"/>
        <w:w w:val="106"/>
        <w:sz w:val="22"/>
        <w:szCs w:val="22"/>
        <w:lang w:val="en-US" w:eastAsia="en-US" w:bidi="ar-SA"/>
      </w:rPr>
    </w:lvl>
    <w:lvl w:ilvl="2">
      <w:start w:val="1"/>
      <w:numFmt w:val="decimal"/>
      <w:lvlText w:val="%2.%3"/>
      <w:lvlJc w:val="left"/>
      <w:pPr>
        <w:ind w:left="1445" w:hanging="710"/>
      </w:pPr>
      <w:rPr>
        <w:rFonts w:ascii="Tahoma" w:eastAsia="Tahoma" w:hAnsi="Tahoma" w:cs="Tahoma" w:hint="default"/>
        <w:spacing w:val="-1"/>
        <w:w w:val="98"/>
        <w:sz w:val="22"/>
        <w:szCs w:val="22"/>
        <w:lang w:val="en-US" w:eastAsia="en-US" w:bidi="ar-SA"/>
      </w:rPr>
    </w:lvl>
    <w:lvl w:ilvl="3">
      <w:numFmt w:val="bullet"/>
      <w:lvlText w:val="•"/>
      <w:lvlJc w:val="left"/>
      <w:pPr>
        <w:ind w:left="2596" w:hanging="710"/>
      </w:pPr>
      <w:rPr>
        <w:rFonts w:hint="default"/>
        <w:lang w:val="en-US" w:eastAsia="en-US" w:bidi="ar-SA"/>
      </w:rPr>
    </w:lvl>
    <w:lvl w:ilvl="4">
      <w:numFmt w:val="bullet"/>
      <w:lvlText w:val="•"/>
      <w:lvlJc w:val="left"/>
      <w:pPr>
        <w:ind w:left="3712" w:hanging="710"/>
      </w:pPr>
      <w:rPr>
        <w:rFonts w:hint="default"/>
        <w:lang w:val="en-US" w:eastAsia="en-US" w:bidi="ar-SA"/>
      </w:rPr>
    </w:lvl>
    <w:lvl w:ilvl="5">
      <w:numFmt w:val="bullet"/>
      <w:lvlText w:val="•"/>
      <w:lvlJc w:val="left"/>
      <w:pPr>
        <w:ind w:left="4828" w:hanging="710"/>
      </w:pPr>
      <w:rPr>
        <w:rFonts w:hint="default"/>
        <w:lang w:val="en-US" w:eastAsia="en-US" w:bidi="ar-SA"/>
      </w:rPr>
    </w:lvl>
    <w:lvl w:ilvl="6">
      <w:numFmt w:val="bullet"/>
      <w:lvlText w:val="•"/>
      <w:lvlJc w:val="left"/>
      <w:pPr>
        <w:ind w:left="5945" w:hanging="710"/>
      </w:pPr>
      <w:rPr>
        <w:rFonts w:hint="default"/>
        <w:lang w:val="en-US" w:eastAsia="en-US" w:bidi="ar-SA"/>
      </w:rPr>
    </w:lvl>
    <w:lvl w:ilvl="7">
      <w:numFmt w:val="bullet"/>
      <w:lvlText w:val="•"/>
      <w:lvlJc w:val="left"/>
      <w:pPr>
        <w:ind w:left="7061" w:hanging="710"/>
      </w:pPr>
      <w:rPr>
        <w:rFonts w:hint="default"/>
        <w:lang w:val="en-US" w:eastAsia="en-US" w:bidi="ar-SA"/>
      </w:rPr>
    </w:lvl>
    <w:lvl w:ilvl="8">
      <w:numFmt w:val="bullet"/>
      <w:lvlText w:val="•"/>
      <w:lvlJc w:val="left"/>
      <w:pPr>
        <w:ind w:left="8177" w:hanging="710"/>
      </w:pPr>
      <w:rPr>
        <w:rFonts w:hint="default"/>
        <w:lang w:val="en-US" w:eastAsia="en-US" w:bidi="ar-SA"/>
      </w:rPr>
    </w:lvl>
  </w:abstractNum>
  <w:abstractNum w:abstractNumId="9" w15:restartNumberingAfterBreak="0">
    <w:nsid w:val="675B5DD1"/>
    <w:multiLevelType w:val="multilevel"/>
    <w:tmpl w:val="C5D04CC4"/>
    <w:lvl w:ilvl="0">
      <w:start w:val="3"/>
      <w:numFmt w:val="decimal"/>
      <w:lvlText w:val="%1"/>
      <w:lvlJc w:val="left"/>
      <w:pPr>
        <w:ind w:left="360" w:hanging="360"/>
      </w:pPr>
      <w:rPr>
        <w:rFonts w:hint="default"/>
      </w:rPr>
    </w:lvl>
    <w:lvl w:ilvl="1">
      <w:start w:val="1"/>
      <w:numFmt w:val="decimal"/>
      <w:lvlText w:val="%1.%2"/>
      <w:lvlJc w:val="left"/>
      <w:pPr>
        <w:ind w:left="735" w:hanging="360"/>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67A623BD"/>
    <w:multiLevelType w:val="hybridMultilevel"/>
    <w:tmpl w:val="75222302"/>
    <w:lvl w:ilvl="0" w:tplc="4672D138">
      <w:numFmt w:val="bullet"/>
      <w:lvlText w:val="-"/>
      <w:lvlJc w:val="left"/>
      <w:pPr>
        <w:ind w:left="375" w:hanging="720"/>
      </w:pPr>
      <w:rPr>
        <w:rFonts w:ascii="Tahoma" w:eastAsia="Tahoma" w:hAnsi="Tahoma" w:cs="Tahoma" w:hint="default"/>
        <w:w w:val="87"/>
        <w:sz w:val="22"/>
        <w:szCs w:val="22"/>
        <w:lang w:val="en-US" w:eastAsia="en-US" w:bidi="ar-SA"/>
      </w:rPr>
    </w:lvl>
    <w:lvl w:ilvl="1" w:tplc="0B90DA5C">
      <w:numFmt w:val="bullet"/>
      <w:lvlText w:val="•"/>
      <w:lvlJc w:val="left"/>
      <w:pPr>
        <w:ind w:left="1383" w:hanging="720"/>
      </w:pPr>
      <w:rPr>
        <w:rFonts w:hint="default"/>
        <w:lang w:val="en-US" w:eastAsia="en-US" w:bidi="ar-SA"/>
      </w:rPr>
    </w:lvl>
    <w:lvl w:ilvl="2" w:tplc="BB982B76">
      <w:numFmt w:val="bullet"/>
      <w:lvlText w:val="•"/>
      <w:lvlJc w:val="left"/>
      <w:pPr>
        <w:ind w:left="2386" w:hanging="720"/>
      </w:pPr>
      <w:rPr>
        <w:rFonts w:hint="default"/>
        <w:lang w:val="en-US" w:eastAsia="en-US" w:bidi="ar-SA"/>
      </w:rPr>
    </w:lvl>
    <w:lvl w:ilvl="3" w:tplc="9B32575C">
      <w:numFmt w:val="bullet"/>
      <w:lvlText w:val="•"/>
      <w:lvlJc w:val="left"/>
      <w:pPr>
        <w:ind w:left="3389" w:hanging="720"/>
      </w:pPr>
      <w:rPr>
        <w:rFonts w:hint="default"/>
        <w:lang w:val="en-US" w:eastAsia="en-US" w:bidi="ar-SA"/>
      </w:rPr>
    </w:lvl>
    <w:lvl w:ilvl="4" w:tplc="BDF62BDC">
      <w:numFmt w:val="bullet"/>
      <w:lvlText w:val="•"/>
      <w:lvlJc w:val="left"/>
      <w:pPr>
        <w:ind w:left="4392" w:hanging="720"/>
      </w:pPr>
      <w:rPr>
        <w:rFonts w:hint="default"/>
        <w:lang w:val="en-US" w:eastAsia="en-US" w:bidi="ar-SA"/>
      </w:rPr>
    </w:lvl>
    <w:lvl w:ilvl="5" w:tplc="0F8E33CE">
      <w:numFmt w:val="bullet"/>
      <w:lvlText w:val="•"/>
      <w:lvlJc w:val="left"/>
      <w:pPr>
        <w:ind w:left="5395" w:hanging="720"/>
      </w:pPr>
      <w:rPr>
        <w:rFonts w:hint="default"/>
        <w:lang w:val="en-US" w:eastAsia="en-US" w:bidi="ar-SA"/>
      </w:rPr>
    </w:lvl>
    <w:lvl w:ilvl="6" w:tplc="F44CA53A">
      <w:numFmt w:val="bullet"/>
      <w:lvlText w:val="•"/>
      <w:lvlJc w:val="left"/>
      <w:pPr>
        <w:ind w:left="6398" w:hanging="720"/>
      </w:pPr>
      <w:rPr>
        <w:rFonts w:hint="default"/>
        <w:lang w:val="en-US" w:eastAsia="en-US" w:bidi="ar-SA"/>
      </w:rPr>
    </w:lvl>
    <w:lvl w:ilvl="7" w:tplc="0A34CD28">
      <w:numFmt w:val="bullet"/>
      <w:lvlText w:val="•"/>
      <w:lvlJc w:val="left"/>
      <w:pPr>
        <w:ind w:left="7401" w:hanging="720"/>
      </w:pPr>
      <w:rPr>
        <w:rFonts w:hint="default"/>
        <w:lang w:val="en-US" w:eastAsia="en-US" w:bidi="ar-SA"/>
      </w:rPr>
    </w:lvl>
    <w:lvl w:ilvl="8" w:tplc="184A3638">
      <w:numFmt w:val="bullet"/>
      <w:lvlText w:val="•"/>
      <w:lvlJc w:val="left"/>
      <w:pPr>
        <w:ind w:left="8404" w:hanging="720"/>
      </w:pPr>
      <w:rPr>
        <w:rFonts w:hint="default"/>
        <w:lang w:val="en-US" w:eastAsia="en-US" w:bidi="ar-SA"/>
      </w:rPr>
    </w:lvl>
  </w:abstractNum>
  <w:abstractNum w:abstractNumId="11" w15:restartNumberingAfterBreak="0">
    <w:nsid w:val="688A4AE4"/>
    <w:multiLevelType w:val="multilevel"/>
    <w:tmpl w:val="AF0C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A1CBE"/>
    <w:multiLevelType w:val="hybridMultilevel"/>
    <w:tmpl w:val="A52025CC"/>
    <w:lvl w:ilvl="0" w:tplc="48CC1144">
      <w:numFmt w:val="bullet"/>
      <w:lvlText w:val="-"/>
      <w:lvlJc w:val="left"/>
      <w:pPr>
        <w:ind w:left="1096" w:hanging="360"/>
      </w:pPr>
      <w:rPr>
        <w:rFonts w:ascii="Tahoma" w:eastAsia="Tahoma" w:hAnsi="Tahoma" w:cs="Tahoma" w:hint="default"/>
        <w:w w:val="87"/>
        <w:sz w:val="22"/>
        <w:szCs w:val="22"/>
        <w:lang w:val="en-US" w:eastAsia="en-US" w:bidi="ar-SA"/>
      </w:rPr>
    </w:lvl>
    <w:lvl w:ilvl="1" w:tplc="9E0CD766">
      <w:numFmt w:val="bullet"/>
      <w:lvlText w:val="•"/>
      <w:lvlJc w:val="left"/>
      <w:pPr>
        <w:ind w:left="2031" w:hanging="360"/>
      </w:pPr>
      <w:rPr>
        <w:rFonts w:hint="default"/>
        <w:lang w:val="en-US" w:eastAsia="en-US" w:bidi="ar-SA"/>
      </w:rPr>
    </w:lvl>
    <w:lvl w:ilvl="2" w:tplc="1D84D5A2">
      <w:numFmt w:val="bullet"/>
      <w:lvlText w:val="•"/>
      <w:lvlJc w:val="left"/>
      <w:pPr>
        <w:ind w:left="2962" w:hanging="360"/>
      </w:pPr>
      <w:rPr>
        <w:rFonts w:hint="default"/>
        <w:lang w:val="en-US" w:eastAsia="en-US" w:bidi="ar-SA"/>
      </w:rPr>
    </w:lvl>
    <w:lvl w:ilvl="3" w:tplc="313AE83A">
      <w:numFmt w:val="bullet"/>
      <w:lvlText w:val="•"/>
      <w:lvlJc w:val="left"/>
      <w:pPr>
        <w:ind w:left="3893" w:hanging="360"/>
      </w:pPr>
      <w:rPr>
        <w:rFonts w:hint="default"/>
        <w:lang w:val="en-US" w:eastAsia="en-US" w:bidi="ar-SA"/>
      </w:rPr>
    </w:lvl>
    <w:lvl w:ilvl="4" w:tplc="B04E1B92">
      <w:numFmt w:val="bullet"/>
      <w:lvlText w:val="•"/>
      <w:lvlJc w:val="left"/>
      <w:pPr>
        <w:ind w:left="4824" w:hanging="360"/>
      </w:pPr>
      <w:rPr>
        <w:rFonts w:hint="default"/>
        <w:lang w:val="en-US" w:eastAsia="en-US" w:bidi="ar-SA"/>
      </w:rPr>
    </w:lvl>
    <w:lvl w:ilvl="5" w:tplc="F5FC8E3C">
      <w:numFmt w:val="bullet"/>
      <w:lvlText w:val="•"/>
      <w:lvlJc w:val="left"/>
      <w:pPr>
        <w:ind w:left="5755" w:hanging="360"/>
      </w:pPr>
      <w:rPr>
        <w:rFonts w:hint="default"/>
        <w:lang w:val="en-US" w:eastAsia="en-US" w:bidi="ar-SA"/>
      </w:rPr>
    </w:lvl>
    <w:lvl w:ilvl="6" w:tplc="F7DEACC4">
      <w:numFmt w:val="bullet"/>
      <w:lvlText w:val="•"/>
      <w:lvlJc w:val="left"/>
      <w:pPr>
        <w:ind w:left="6686" w:hanging="360"/>
      </w:pPr>
      <w:rPr>
        <w:rFonts w:hint="default"/>
        <w:lang w:val="en-US" w:eastAsia="en-US" w:bidi="ar-SA"/>
      </w:rPr>
    </w:lvl>
    <w:lvl w:ilvl="7" w:tplc="7EEE0352">
      <w:numFmt w:val="bullet"/>
      <w:lvlText w:val="•"/>
      <w:lvlJc w:val="left"/>
      <w:pPr>
        <w:ind w:left="7617" w:hanging="360"/>
      </w:pPr>
      <w:rPr>
        <w:rFonts w:hint="default"/>
        <w:lang w:val="en-US" w:eastAsia="en-US" w:bidi="ar-SA"/>
      </w:rPr>
    </w:lvl>
    <w:lvl w:ilvl="8" w:tplc="B28051AC">
      <w:numFmt w:val="bullet"/>
      <w:lvlText w:val="•"/>
      <w:lvlJc w:val="left"/>
      <w:pPr>
        <w:ind w:left="8548" w:hanging="360"/>
      </w:pPr>
      <w:rPr>
        <w:rFonts w:hint="default"/>
        <w:lang w:val="en-US" w:eastAsia="en-US" w:bidi="ar-SA"/>
      </w:rPr>
    </w:lvl>
  </w:abstractNum>
  <w:abstractNum w:abstractNumId="13" w15:restartNumberingAfterBreak="0">
    <w:nsid w:val="709836DD"/>
    <w:multiLevelType w:val="hybridMultilevel"/>
    <w:tmpl w:val="08EA5252"/>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4" w15:restartNumberingAfterBreak="0">
    <w:nsid w:val="73111408"/>
    <w:multiLevelType w:val="multilevel"/>
    <w:tmpl w:val="4624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158B2"/>
    <w:multiLevelType w:val="hybridMultilevel"/>
    <w:tmpl w:val="7952999A"/>
    <w:lvl w:ilvl="0" w:tplc="FFFFFFFF">
      <w:start w:val="1"/>
      <w:numFmt w:val="decimal"/>
      <w:lvlText w:val="%1."/>
      <w:lvlJc w:val="left"/>
      <w:pPr>
        <w:ind w:left="1095" w:hanging="360"/>
      </w:pPr>
      <w:rPr>
        <w:b/>
        <w:bCs/>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16" w15:restartNumberingAfterBreak="0">
    <w:nsid w:val="78B50884"/>
    <w:multiLevelType w:val="hybridMultilevel"/>
    <w:tmpl w:val="E3FCFA94"/>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num w:numId="1" w16cid:durableId="2005552122">
    <w:abstractNumId w:val="12"/>
  </w:num>
  <w:num w:numId="2" w16cid:durableId="1342316989">
    <w:abstractNumId w:val="8"/>
  </w:num>
  <w:num w:numId="3" w16cid:durableId="894313833">
    <w:abstractNumId w:val="10"/>
  </w:num>
  <w:num w:numId="4" w16cid:durableId="1446728827">
    <w:abstractNumId w:val="13"/>
  </w:num>
  <w:num w:numId="5" w16cid:durableId="530073739">
    <w:abstractNumId w:val="7"/>
  </w:num>
  <w:num w:numId="6" w16cid:durableId="29230166">
    <w:abstractNumId w:val="3"/>
  </w:num>
  <w:num w:numId="7" w16cid:durableId="669214316">
    <w:abstractNumId w:val="5"/>
  </w:num>
  <w:num w:numId="8" w16cid:durableId="1508474586">
    <w:abstractNumId w:val="4"/>
  </w:num>
  <w:num w:numId="9" w16cid:durableId="1871599828">
    <w:abstractNumId w:val="9"/>
  </w:num>
  <w:num w:numId="10" w16cid:durableId="46803198">
    <w:abstractNumId w:val="6"/>
  </w:num>
  <w:num w:numId="11" w16cid:durableId="1023630805">
    <w:abstractNumId w:val="1"/>
  </w:num>
  <w:num w:numId="12" w16cid:durableId="104278398">
    <w:abstractNumId w:val="2"/>
  </w:num>
  <w:num w:numId="13" w16cid:durableId="1959531622">
    <w:abstractNumId w:val="14"/>
  </w:num>
  <w:num w:numId="14" w16cid:durableId="1882400080">
    <w:abstractNumId w:val="11"/>
  </w:num>
  <w:num w:numId="15" w16cid:durableId="1516193898">
    <w:abstractNumId w:val="15"/>
  </w:num>
  <w:num w:numId="16" w16cid:durableId="1754666488">
    <w:abstractNumId w:val="16"/>
  </w:num>
  <w:num w:numId="17" w16cid:durableId="12461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E4"/>
    <w:rsid w:val="000003B2"/>
    <w:rsid w:val="00000A0A"/>
    <w:rsid w:val="000114B1"/>
    <w:rsid w:val="000130A4"/>
    <w:rsid w:val="00027206"/>
    <w:rsid w:val="0002798F"/>
    <w:rsid w:val="00030574"/>
    <w:rsid w:val="00034B69"/>
    <w:rsid w:val="00040C56"/>
    <w:rsid w:val="00051985"/>
    <w:rsid w:val="000548DF"/>
    <w:rsid w:val="00084F66"/>
    <w:rsid w:val="00092D03"/>
    <w:rsid w:val="000961F9"/>
    <w:rsid w:val="000A061E"/>
    <w:rsid w:val="000A7F70"/>
    <w:rsid w:val="000B2026"/>
    <w:rsid w:val="000B44C2"/>
    <w:rsid w:val="000B63C0"/>
    <w:rsid w:val="000C2DF5"/>
    <w:rsid w:val="000C3BA4"/>
    <w:rsid w:val="000C41A9"/>
    <w:rsid w:val="000C5BE1"/>
    <w:rsid w:val="000D4DF5"/>
    <w:rsid w:val="000E35C6"/>
    <w:rsid w:val="000F5389"/>
    <w:rsid w:val="000F58A2"/>
    <w:rsid w:val="000F636B"/>
    <w:rsid w:val="0010310D"/>
    <w:rsid w:val="00117E65"/>
    <w:rsid w:val="001211FA"/>
    <w:rsid w:val="001276B3"/>
    <w:rsid w:val="00130B7B"/>
    <w:rsid w:val="00130CF8"/>
    <w:rsid w:val="001335C0"/>
    <w:rsid w:val="00142595"/>
    <w:rsid w:val="00143315"/>
    <w:rsid w:val="00147784"/>
    <w:rsid w:val="00165D45"/>
    <w:rsid w:val="00171D2E"/>
    <w:rsid w:val="001759EA"/>
    <w:rsid w:val="00176795"/>
    <w:rsid w:val="001963B2"/>
    <w:rsid w:val="001A2932"/>
    <w:rsid w:val="001B19B5"/>
    <w:rsid w:val="001B1B1A"/>
    <w:rsid w:val="001B5D2C"/>
    <w:rsid w:val="001B5E44"/>
    <w:rsid w:val="001C106A"/>
    <w:rsid w:val="001C2DF0"/>
    <w:rsid w:val="001C4505"/>
    <w:rsid w:val="001C4E21"/>
    <w:rsid w:val="001D6188"/>
    <w:rsid w:val="001D61DF"/>
    <w:rsid w:val="001D6D94"/>
    <w:rsid w:val="001D6E73"/>
    <w:rsid w:val="001F2038"/>
    <w:rsid w:val="00200132"/>
    <w:rsid w:val="002135E4"/>
    <w:rsid w:val="00216E7A"/>
    <w:rsid w:val="0022404D"/>
    <w:rsid w:val="00225509"/>
    <w:rsid w:val="002340A2"/>
    <w:rsid w:val="00240996"/>
    <w:rsid w:val="00243D36"/>
    <w:rsid w:val="0024621F"/>
    <w:rsid w:val="00246880"/>
    <w:rsid w:val="002514B0"/>
    <w:rsid w:val="00257623"/>
    <w:rsid w:val="002655D8"/>
    <w:rsid w:val="0027352C"/>
    <w:rsid w:val="002776E4"/>
    <w:rsid w:val="002860FC"/>
    <w:rsid w:val="002A0386"/>
    <w:rsid w:val="002A2011"/>
    <w:rsid w:val="002A4A34"/>
    <w:rsid w:val="002A69BA"/>
    <w:rsid w:val="002A7CD4"/>
    <w:rsid w:val="002B7607"/>
    <w:rsid w:val="002C0D16"/>
    <w:rsid w:val="002D0D86"/>
    <w:rsid w:val="002D2193"/>
    <w:rsid w:val="002D50FE"/>
    <w:rsid w:val="002E2778"/>
    <w:rsid w:val="002E5A18"/>
    <w:rsid w:val="003077A3"/>
    <w:rsid w:val="00312EE7"/>
    <w:rsid w:val="00315248"/>
    <w:rsid w:val="00320C7A"/>
    <w:rsid w:val="003214B2"/>
    <w:rsid w:val="00323038"/>
    <w:rsid w:val="003261C8"/>
    <w:rsid w:val="0032632E"/>
    <w:rsid w:val="00335EF0"/>
    <w:rsid w:val="00337045"/>
    <w:rsid w:val="0034185E"/>
    <w:rsid w:val="00343B26"/>
    <w:rsid w:val="00345C7D"/>
    <w:rsid w:val="00347428"/>
    <w:rsid w:val="00351267"/>
    <w:rsid w:val="00352A20"/>
    <w:rsid w:val="003708A9"/>
    <w:rsid w:val="00372032"/>
    <w:rsid w:val="00376432"/>
    <w:rsid w:val="003846C0"/>
    <w:rsid w:val="003958A9"/>
    <w:rsid w:val="00396C16"/>
    <w:rsid w:val="00397677"/>
    <w:rsid w:val="003A1760"/>
    <w:rsid w:val="003A38E6"/>
    <w:rsid w:val="003A6D73"/>
    <w:rsid w:val="003B7535"/>
    <w:rsid w:val="003C2088"/>
    <w:rsid w:val="003C4901"/>
    <w:rsid w:val="003C5463"/>
    <w:rsid w:val="003C6A6E"/>
    <w:rsid w:val="003D0896"/>
    <w:rsid w:val="003D4752"/>
    <w:rsid w:val="003D49EE"/>
    <w:rsid w:val="003D5242"/>
    <w:rsid w:val="003D58FF"/>
    <w:rsid w:val="003F0AAC"/>
    <w:rsid w:val="00406E50"/>
    <w:rsid w:val="00410CDA"/>
    <w:rsid w:val="004112C2"/>
    <w:rsid w:val="0041455D"/>
    <w:rsid w:val="0041474E"/>
    <w:rsid w:val="00422F0A"/>
    <w:rsid w:val="00424D0F"/>
    <w:rsid w:val="004257F2"/>
    <w:rsid w:val="00426361"/>
    <w:rsid w:val="00426388"/>
    <w:rsid w:val="00426422"/>
    <w:rsid w:val="0043588A"/>
    <w:rsid w:val="004402BD"/>
    <w:rsid w:val="00440720"/>
    <w:rsid w:val="0044454B"/>
    <w:rsid w:val="004468D6"/>
    <w:rsid w:val="0045269C"/>
    <w:rsid w:val="00452AB4"/>
    <w:rsid w:val="00454A1B"/>
    <w:rsid w:val="004552A6"/>
    <w:rsid w:val="00456AA0"/>
    <w:rsid w:val="0046304B"/>
    <w:rsid w:val="00467020"/>
    <w:rsid w:val="00467E2C"/>
    <w:rsid w:val="00491E71"/>
    <w:rsid w:val="00493BBB"/>
    <w:rsid w:val="004A089F"/>
    <w:rsid w:val="004B01E0"/>
    <w:rsid w:val="004B5B3F"/>
    <w:rsid w:val="004B7F7E"/>
    <w:rsid w:val="004C2187"/>
    <w:rsid w:val="004C395E"/>
    <w:rsid w:val="004D0614"/>
    <w:rsid w:val="004D3B03"/>
    <w:rsid w:val="004D55C5"/>
    <w:rsid w:val="004E05F4"/>
    <w:rsid w:val="004E1141"/>
    <w:rsid w:val="004F6715"/>
    <w:rsid w:val="00521F39"/>
    <w:rsid w:val="00522BE4"/>
    <w:rsid w:val="00537324"/>
    <w:rsid w:val="0054104E"/>
    <w:rsid w:val="0054146C"/>
    <w:rsid w:val="0054248F"/>
    <w:rsid w:val="00544A07"/>
    <w:rsid w:val="00544A44"/>
    <w:rsid w:val="005461A8"/>
    <w:rsid w:val="00546704"/>
    <w:rsid w:val="00546BCA"/>
    <w:rsid w:val="0055192E"/>
    <w:rsid w:val="0055335D"/>
    <w:rsid w:val="00556FD1"/>
    <w:rsid w:val="0057119B"/>
    <w:rsid w:val="00572452"/>
    <w:rsid w:val="00574A61"/>
    <w:rsid w:val="00580D70"/>
    <w:rsid w:val="005811EE"/>
    <w:rsid w:val="00585000"/>
    <w:rsid w:val="005976E7"/>
    <w:rsid w:val="00597898"/>
    <w:rsid w:val="005A5173"/>
    <w:rsid w:val="005A6BD7"/>
    <w:rsid w:val="005B0103"/>
    <w:rsid w:val="005B39FF"/>
    <w:rsid w:val="005B4E27"/>
    <w:rsid w:val="005B5CB0"/>
    <w:rsid w:val="005B768C"/>
    <w:rsid w:val="005C5464"/>
    <w:rsid w:val="005C74F5"/>
    <w:rsid w:val="005E4599"/>
    <w:rsid w:val="005F35C0"/>
    <w:rsid w:val="005F7936"/>
    <w:rsid w:val="00600F8B"/>
    <w:rsid w:val="00601340"/>
    <w:rsid w:val="00603542"/>
    <w:rsid w:val="00611141"/>
    <w:rsid w:val="006170C6"/>
    <w:rsid w:val="00622D15"/>
    <w:rsid w:val="00625352"/>
    <w:rsid w:val="006258A5"/>
    <w:rsid w:val="00643598"/>
    <w:rsid w:val="0064792F"/>
    <w:rsid w:val="00652719"/>
    <w:rsid w:val="00656143"/>
    <w:rsid w:val="00661DEA"/>
    <w:rsid w:val="00661F7D"/>
    <w:rsid w:val="00667F71"/>
    <w:rsid w:val="00680D92"/>
    <w:rsid w:val="0068238E"/>
    <w:rsid w:val="00682ABA"/>
    <w:rsid w:val="00684903"/>
    <w:rsid w:val="00684CF3"/>
    <w:rsid w:val="00687656"/>
    <w:rsid w:val="00687854"/>
    <w:rsid w:val="0069451B"/>
    <w:rsid w:val="006976EF"/>
    <w:rsid w:val="00697B7B"/>
    <w:rsid w:val="006A24DD"/>
    <w:rsid w:val="006A256D"/>
    <w:rsid w:val="006A6513"/>
    <w:rsid w:val="006B0FEF"/>
    <w:rsid w:val="006B375E"/>
    <w:rsid w:val="006B5901"/>
    <w:rsid w:val="006B7970"/>
    <w:rsid w:val="006B7BCA"/>
    <w:rsid w:val="006C6618"/>
    <w:rsid w:val="006D0CFB"/>
    <w:rsid w:val="006D5B4B"/>
    <w:rsid w:val="006E2AC1"/>
    <w:rsid w:val="006E5964"/>
    <w:rsid w:val="006F3F22"/>
    <w:rsid w:val="00700D3E"/>
    <w:rsid w:val="00701E56"/>
    <w:rsid w:val="00706D32"/>
    <w:rsid w:val="0070717D"/>
    <w:rsid w:val="007131C0"/>
    <w:rsid w:val="00713F63"/>
    <w:rsid w:val="007156ED"/>
    <w:rsid w:val="007249DC"/>
    <w:rsid w:val="007279AB"/>
    <w:rsid w:val="0074365E"/>
    <w:rsid w:val="00744ACD"/>
    <w:rsid w:val="00747813"/>
    <w:rsid w:val="00750256"/>
    <w:rsid w:val="00750EE0"/>
    <w:rsid w:val="007546DE"/>
    <w:rsid w:val="007700AA"/>
    <w:rsid w:val="007703A2"/>
    <w:rsid w:val="0077169B"/>
    <w:rsid w:val="00774608"/>
    <w:rsid w:val="007746FF"/>
    <w:rsid w:val="00777AB0"/>
    <w:rsid w:val="00782BEC"/>
    <w:rsid w:val="00793E2C"/>
    <w:rsid w:val="007941A2"/>
    <w:rsid w:val="0079746D"/>
    <w:rsid w:val="007A58A0"/>
    <w:rsid w:val="007B5488"/>
    <w:rsid w:val="007D20D1"/>
    <w:rsid w:val="007E6D1C"/>
    <w:rsid w:val="007E78BA"/>
    <w:rsid w:val="007F0BC1"/>
    <w:rsid w:val="007F48DE"/>
    <w:rsid w:val="007F53DA"/>
    <w:rsid w:val="008006F2"/>
    <w:rsid w:val="008027AE"/>
    <w:rsid w:val="00803041"/>
    <w:rsid w:val="00806037"/>
    <w:rsid w:val="008144E8"/>
    <w:rsid w:val="00814DA4"/>
    <w:rsid w:val="00815691"/>
    <w:rsid w:val="00816A7B"/>
    <w:rsid w:val="00822F1F"/>
    <w:rsid w:val="00822FEC"/>
    <w:rsid w:val="00823CE2"/>
    <w:rsid w:val="00826353"/>
    <w:rsid w:val="00827530"/>
    <w:rsid w:val="0083238D"/>
    <w:rsid w:val="00832820"/>
    <w:rsid w:val="008362A1"/>
    <w:rsid w:val="00840FE3"/>
    <w:rsid w:val="00841F3A"/>
    <w:rsid w:val="00845A4B"/>
    <w:rsid w:val="0084689E"/>
    <w:rsid w:val="00846CD9"/>
    <w:rsid w:val="00854AA4"/>
    <w:rsid w:val="008560A9"/>
    <w:rsid w:val="0087094F"/>
    <w:rsid w:val="00880A29"/>
    <w:rsid w:val="008960AA"/>
    <w:rsid w:val="008A0944"/>
    <w:rsid w:val="008A762D"/>
    <w:rsid w:val="008B44A2"/>
    <w:rsid w:val="008B4974"/>
    <w:rsid w:val="008B680C"/>
    <w:rsid w:val="008B714C"/>
    <w:rsid w:val="008C096C"/>
    <w:rsid w:val="008C1B25"/>
    <w:rsid w:val="008C7901"/>
    <w:rsid w:val="008D0184"/>
    <w:rsid w:val="008D0361"/>
    <w:rsid w:val="008D0799"/>
    <w:rsid w:val="008D690A"/>
    <w:rsid w:val="008D6FCB"/>
    <w:rsid w:val="008D77D2"/>
    <w:rsid w:val="008E13F2"/>
    <w:rsid w:val="008E21D4"/>
    <w:rsid w:val="008E4FC6"/>
    <w:rsid w:val="008E5CD3"/>
    <w:rsid w:val="008F6C0D"/>
    <w:rsid w:val="008F7E45"/>
    <w:rsid w:val="00916436"/>
    <w:rsid w:val="0092321C"/>
    <w:rsid w:val="00927B90"/>
    <w:rsid w:val="00930177"/>
    <w:rsid w:val="00933324"/>
    <w:rsid w:val="00937E09"/>
    <w:rsid w:val="009404BC"/>
    <w:rsid w:val="00940D81"/>
    <w:rsid w:val="00944546"/>
    <w:rsid w:val="00946E26"/>
    <w:rsid w:val="00947D00"/>
    <w:rsid w:val="0095030E"/>
    <w:rsid w:val="00952031"/>
    <w:rsid w:val="00952556"/>
    <w:rsid w:val="009629C3"/>
    <w:rsid w:val="009649CD"/>
    <w:rsid w:val="009707FC"/>
    <w:rsid w:val="009719B1"/>
    <w:rsid w:val="009730DE"/>
    <w:rsid w:val="00977473"/>
    <w:rsid w:val="009816B0"/>
    <w:rsid w:val="009958CA"/>
    <w:rsid w:val="00996A6E"/>
    <w:rsid w:val="009C28C1"/>
    <w:rsid w:val="009C441D"/>
    <w:rsid w:val="009C5B47"/>
    <w:rsid w:val="009C7451"/>
    <w:rsid w:val="009D0819"/>
    <w:rsid w:val="009D13C6"/>
    <w:rsid w:val="009D264B"/>
    <w:rsid w:val="009D456D"/>
    <w:rsid w:val="009F3481"/>
    <w:rsid w:val="009F5861"/>
    <w:rsid w:val="00A16FC3"/>
    <w:rsid w:val="00A241AF"/>
    <w:rsid w:val="00A26CB4"/>
    <w:rsid w:val="00A27A80"/>
    <w:rsid w:val="00A32857"/>
    <w:rsid w:val="00A41A44"/>
    <w:rsid w:val="00A41B4D"/>
    <w:rsid w:val="00A471EC"/>
    <w:rsid w:val="00A504DA"/>
    <w:rsid w:val="00A53937"/>
    <w:rsid w:val="00A554E1"/>
    <w:rsid w:val="00A6197D"/>
    <w:rsid w:val="00A67E62"/>
    <w:rsid w:val="00A80E18"/>
    <w:rsid w:val="00A819EB"/>
    <w:rsid w:val="00A82741"/>
    <w:rsid w:val="00A83F4A"/>
    <w:rsid w:val="00A84565"/>
    <w:rsid w:val="00AA116D"/>
    <w:rsid w:val="00AA1C46"/>
    <w:rsid w:val="00AA3BF7"/>
    <w:rsid w:val="00AA50EC"/>
    <w:rsid w:val="00AB4F33"/>
    <w:rsid w:val="00AB553E"/>
    <w:rsid w:val="00AB5F7D"/>
    <w:rsid w:val="00AC0368"/>
    <w:rsid w:val="00AC24BF"/>
    <w:rsid w:val="00AD0A0B"/>
    <w:rsid w:val="00AD23F7"/>
    <w:rsid w:val="00AD463D"/>
    <w:rsid w:val="00AD6620"/>
    <w:rsid w:val="00AD6D65"/>
    <w:rsid w:val="00AE5D8D"/>
    <w:rsid w:val="00B026F4"/>
    <w:rsid w:val="00B10E13"/>
    <w:rsid w:val="00B147C3"/>
    <w:rsid w:val="00B14C4F"/>
    <w:rsid w:val="00B20D2A"/>
    <w:rsid w:val="00B22CA7"/>
    <w:rsid w:val="00B33EF2"/>
    <w:rsid w:val="00B34A82"/>
    <w:rsid w:val="00B61A51"/>
    <w:rsid w:val="00B650D6"/>
    <w:rsid w:val="00B67624"/>
    <w:rsid w:val="00B70977"/>
    <w:rsid w:val="00B73D34"/>
    <w:rsid w:val="00B84A91"/>
    <w:rsid w:val="00B910DE"/>
    <w:rsid w:val="00B93A23"/>
    <w:rsid w:val="00BA2207"/>
    <w:rsid w:val="00BA31E4"/>
    <w:rsid w:val="00BA4ACE"/>
    <w:rsid w:val="00BA737E"/>
    <w:rsid w:val="00BB5E1B"/>
    <w:rsid w:val="00BC51F8"/>
    <w:rsid w:val="00BD0BC7"/>
    <w:rsid w:val="00BD1926"/>
    <w:rsid w:val="00BD2C78"/>
    <w:rsid w:val="00BD5D08"/>
    <w:rsid w:val="00BD742B"/>
    <w:rsid w:val="00BD7B9A"/>
    <w:rsid w:val="00BE01A4"/>
    <w:rsid w:val="00BE0659"/>
    <w:rsid w:val="00BE27FB"/>
    <w:rsid w:val="00BE7474"/>
    <w:rsid w:val="00C002C4"/>
    <w:rsid w:val="00C01599"/>
    <w:rsid w:val="00C018D6"/>
    <w:rsid w:val="00C0752E"/>
    <w:rsid w:val="00C121E6"/>
    <w:rsid w:val="00C12BFE"/>
    <w:rsid w:val="00C132C4"/>
    <w:rsid w:val="00C139FC"/>
    <w:rsid w:val="00C1430C"/>
    <w:rsid w:val="00C15C66"/>
    <w:rsid w:val="00C209E8"/>
    <w:rsid w:val="00C2249A"/>
    <w:rsid w:val="00C230E8"/>
    <w:rsid w:val="00C2796A"/>
    <w:rsid w:val="00C32FC5"/>
    <w:rsid w:val="00C362BB"/>
    <w:rsid w:val="00C37A80"/>
    <w:rsid w:val="00C421E5"/>
    <w:rsid w:val="00C42775"/>
    <w:rsid w:val="00C5368A"/>
    <w:rsid w:val="00C56D55"/>
    <w:rsid w:val="00C617C8"/>
    <w:rsid w:val="00C63D8F"/>
    <w:rsid w:val="00C63F5F"/>
    <w:rsid w:val="00C702EE"/>
    <w:rsid w:val="00C815A4"/>
    <w:rsid w:val="00C817E9"/>
    <w:rsid w:val="00C81AEC"/>
    <w:rsid w:val="00C81C06"/>
    <w:rsid w:val="00C911B2"/>
    <w:rsid w:val="00C92157"/>
    <w:rsid w:val="00C92B06"/>
    <w:rsid w:val="00C9717D"/>
    <w:rsid w:val="00C976B4"/>
    <w:rsid w:val="00CA0E86"/>
    <w:rsid w:val="00CA1D88"/>
    <w:rsid w:val="00CA4576"/>
    <w:rsid w:val="00CA51C9"/>
    <w:rsid w:val="00CA6F66"/>
    <w:rsid w:val="00CB05EE"/>
    <w:rsid w:val="00CC0734"/>
    <w:rsid w:val="00CC195C"/>
    <w:rsid w:val="00CC3059"/>
    <w:rsid w:val="00CC488B"/>
    <w:rsid w:val="00CD7210"/>
    <w:rsid w:val="00CD74F5"/>
    <w:rsid w:val="00CE73B4"/>
    <w:rsid w:val="00CE79FB"/>
    <w:rsid w:val="00CF03BB"/>
    <w:rsid w:val="00CF407C"/>
    <w:rsid w:val="00CF7F01"/>
    <w:rsid w:val="00D0003D"/>
    <w:rsid w:val="00D00AB2"/>
    <w:rsid w:val="00D21530"/>
    <w:rsid w:val="00D2329F"/>
    <w:rsid w:val="00D269B7"/>
    <w:rsid w:val="00D33D33"/>
    <w:rsid w:val="00D33DCB"/>
    <w:rsid w:val="00D36EB0"/>
    <w:rsid w:val="00D37908"/>
    <w:rsid w:val="00D406DA"/>
    <w:rsid w:val="00D430EB"/>
    <w:rsid w:val="00D53151"/>
    <w:rsid w:val="00D554B8"/>
    <w:rsid w:val="00D6171E"/>
    <w:rsid w:val="00D66C8E"/>
    <w:rsid w:val="00D66FB4"/>
    <w:rsid w:val="00D67987"/>
    <w:rsid w:val="00D70B59"/>
    <w:rsid w:val="00D70EA9"/>
    <w:rsid w:val="00D72AF9"/>
    <w:rsid w:val="00D76F63"/>
    <w:rsid w:val="00D90478"/>
    <w:rsid w:val="00D93B75"/>
    <w:rsid w:val="00D94E23"/>
    <w:rsid w:val="00D95A06"/>
    <w:rsid w:val="00DA00D0"/>
    <w:rsid w:val="00DB558E"/>
    <w:rsid w:val="00DC0118"/>
    <w:rsid w:val="00DC3DF1"/>
    <w:rsid w:val="00DC61A1"/>
    <w:rsid w:val="00DC6BE9"/>
    <w:rsid w:val="00DD45BF"/>
    <w:rsid w:val="00DE039F"/>
    <w:rsid w:val="00DE159C"/>
    <w:rsid w:val="00DE2081"/>
    <w:rsid w:val="00DE31EA"/>
    <w:rsid w:val="00DE7C2E"/>
    <w:rsid w:val="00E0624C"/>
    <w:rsid w:val="00E12A77"/>
    <w:rsid w:val="00E1452A"/>
    <w:rsid w:val="00E164C1"/>
    <w:rsid w:val="00E33F0F"/>
    <w:rsid w:val="00E34E47"/>
    <w:rsid w:val="00E40504"/>
    <w:rsid w:val="00E41692"/>
    <w:rsid w:val="00E425E7"/>
    <w:rsid w:val="00E43FBA"/>
    <w:rsid w:val="00E4508F"/>
    <w:rsid w:val="00E47A85"/>
    <w:rsid w:val="00E52CD5"/>
    <w:rsid w:val="00E53345"/>
    <w:rsid w:val="00E556C2"/>
    <w:rsid w:val="00E72E63"/>
    <w:rsid w:val="00E76436"/>
    <w:rsid w:val="00E800CB"/>
    <w:rsid w:val="00E8522F"/>
    <w:rsid w:val="00E85723"/>
    <w:rsid w:val="00E86EFA"/>
    <w:rsid w:val="00E87892"/>
    <w:rsid w:val="00E92043"/>
    <w:rsid w:val="00E97F36"/>
    <w:rsid w:val="00EA0C4D"/>
    <w:rsid w:val="00EB4C90"/>
    <w:rsid w:val="00EB611A"/>
    <w:rsid w:val="00ED0043"/>
    <w:rsid w:val="00ED2FD4"/>
    <w:rsid w:val="00EF0DE6"/>
    <w:rsid w:val="00EF0EFB"/>
    <w:rsid w:val="00F01356"/>
    <w:rsid w:val="00F11D8E"/>
    <w:rsid w:val="00F16413"/>
    <w:rsid w:val="00F24F6D"/>
    <w:rsid w:val="00F25C72"/>
    <w:rsid w:val="00F3117C"/>
    <w:rsid w:val="00F37BBC"/>
    <w:rsid w:val="00F37F1B"/>
    <w:rsid w:val="00F43630"/>
    <w:rsid w:val="00F45C3F"/>
    <w:rsid w:val="00F4767D"/>
    <w:rsid w:val="00F53F71"/>
    <w:rsid w:val="00F55238"/>
    <w:rsid w:val="00F555CD"/>
    <w:rsid w:val="00F5771B"/>
    <w:rsid w:val="00F65F93"/>
    <w:rsid w:val="00F85FEB"/>
    <w:rsid w:val="00F91FA4"/>
    <w:rsid w:val="00F93C22"/>
    <w:rsid w:val="00FA1140"/>
    <w:rsid w:val="00FA164E"/>
    <w:rsid w:val="00FA76C6"/>
    <w:rsid w:val="00FA7E44"/>
    <w:rsid w:val="00FB3A25"/>
    <w:rsid w:val="00FC699A"/>
    <w:rsid w:val="00FE35CE"/>
    <w:rsid w:val="00FE48E7"/>
    <w:rsid w:val="00FF520F"/>
    <w:rsid w:val="00FF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5100"/>
  <w15:docId w15:val="{F534644E-D917-48C1-8363-AFF2496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4"/>
      <w:ind w:left="355"/>
      <w:outlineLvl w:val="0"/>
    </w:pPr>
    <w:rPr>
      <w:rFonts w:ascii="Impact" w:eastAsia="Impact" w:hAnsi="Impact" w:cs="Impact"/>
      <w:sz w:val="69"/>
      <w:szCs w:val="69"/>
    </w:rPr>
  </w:style>
  <w:style w:type="paragraph" w:styleId="Heading2">
    <w:name w:val="heading 2"/>
    <w:basedOn w:val="Normal"/>
    <w:uiPriority w:val="1"/>
    <w:qFormat/>
    <w:pPr>
      <w:spacing w:before="95"/>
      <w:ind w:left="375"/>
      <w:outlineLvl w:val="1"/>
    </w:pPr>
    <w:rPr>
      <w:b/>
      <w:bCs/>
      <w:sz w:val="40"/>
      <w:szCs w:val="40"/>
    </w:rPr>
  </w:style>
  <w:style w:type="paragraph" w:styleId="Heading3">
    <w:name w:val="heading 3"/>
    <w:basedOn w:val="Normal"/>
    <w:uiPriority w:val="1"/>
    <w:qFormat/>
    <w:pPr>
      <w:spacing w:before="91"/>
      <w:ind w:left="2814"/>
      <w:outlineLvl w:val="2"/>
    </w:pPr>
    <w:rPr>
      <w:b/>
      <w:bCs/>
      <w:sz w:val="24"/>
      <w:szCs w:val="24"/>
    </w:rPr>
  </w:style>
  <w:style w:type="paragraph" w:styleId="Heading4">
    <w:name w:val="heading 4"/>
    <w:basedOn w:val="Normal"/>
    <w:uiPriority w:val="1"/>
    <w:qFormat/>
    <w:pPr>
      <w:ind w:left="375"/>
      <w:outlineLvl w:val="3"/>
    </w:pPr>
    <w:rPr>
      <w:b/>
      <w:bCs/>
    </w:rPr>
  </w:style>
  <w:style w:type="paragraph" w:styleId="Heading5">
    <w:name w:val="heading 5"/>
    <w:basedOn w:val="Normal"/>
    <w:uiPriority w:val="1"/>
    <w:qFormat/>
    <w:pPr>
      <w:ind w:left="375"/>
      <w:outlineLvl w:val="4"/>
    </w:pPr>
    <w:rPr>
      <w:rFonts w:ascii="Verdana" w:eastAsia="Verdana" w:hAnsi="Verdana" w:cs="Verdan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55"/>
      <w:ind w:left="105"/>
    </w:pPr>
    <w:rPr>
      <w:rFonts w:ascii="Impact" w:eastAsia="Impact" w:hAnsi="Impact" w:cs="Impact"/>
      <w:sz w:val="82"/>
      <w:szCs w:val="82"/>
    </w:rPr>
  </w:style>
  <w:style w:type="paragraph" w:styleId="ListParagraph">
    <w:name w:val="List Paragraph"/>
    <w:basedOn w:val="Normal"/>
    <w:uiPriority w:val="1"/>
    <w:qFormat/>
    <w:pPr>
      <w:ind w:left="1444" w:hanging="710"/>
    </w:pPr>
  </w:style>
  <w:style w:type="paragraph" w:customStyle="1" w:styleId="TableParagraph">
    <w:name w:val="Table Paragraph"/>
    <w:basedOn w:val="Normal"/>
    <w:uiPriority w:val="1"/>
    <w:qFormat/>
    <w:pPr>
      <w:spacing w:line="465" w:lineRule="exact"/>
    </w:pPr>
  </w:style>
  <w:style w:type="paragraph" w:styleId="Header">
    <w:name w:val="header"/>
    <w:basedOn w:val="Normal"/>
    <w:link w:val="HeaderChar"/>
    <w:uiPriority w:val="99"/>
    <w:unhideWhenUsed/>
    <w:rsid w:val="00C911B2"/>
    <w:pPr>
      <w:tabs>
        <w:tab w:val="center" w:pos="4513"/>
        <w:tab w:val="right" w:pos="9026"/>
      </w:tabs>
    </w:pPr>
  </w:style>
  <w:style w:type="character" w:customStyle="1" w:styleId="HeaderChar">
    <w:name w:val="Header Char"/>
    <w:basedOn w:val="DefaultParagraphFont"/>
    <w:link w:val="Header"/>
    <w:uiPriority w:val="99"/>
    <w:rsid w:val="00C911B2"/>
    <w:rPr>
      <w:rFonts w:ascii="Tahoma" w:eastAsia="Tahoma" w:hAnsi="Tahoma" w:cs="Tahoma"/>
    </w:rPr>
  </w:style>
  <w:style w:type="paragraph" w:styleId="Footer">
    <w:name w:val="footer"/>
    <w:basedOn w:val="Normal"/>
    <w:link w:val="FooterChar"/>
    <w:uiPriority w:val="99"/>
    <w:unhideWhenUsed/>
    <w:rsid w:val="00C911B2"/>
    <w:pPr>
      <w:tabs>
        <w:tab w:val="center" w:pos="4513"/>
        <w:tab w:val="right" w:pos="9026"/>
      </w:tabs>
    </w:pPr>
  </w:style>
  <w:style w:type="character" w:customStyle="1" w:styleId="FooterChar">
    <w:name w:val="Footer Char"/>
    <w:basedOn w:val="DefaultParagraphFont"/>
    <w:link w:val="Footer"/>
    <w:uiPriority w:val="99"/>
    <w:rsid w:val="00C911B2"/>
    <w:rPr>
      <w:rFonts w:ascii="Tahoma" w:eastAsia="Tahoma" w:hAnsi="Tahoma" w:cs="Tahoma"/>
    </w:rPr>
  </w:style>
  <w:style w:type="character" w:styleId="CommentReference">
    <w:name w:val="annotation reference"/>
    <w:basedOn w:val="DefaultParagraphFont"/>
    <w:semiHidden/>
    <w:unhideWhenUsed/>
    <w:rsid w:val="00315248"/>
    <w:rPr>
      <w:sz w:val="16"/>
      <w:szCs w:val="16"/>
    </w:rPr>
  </w:style>
  <w:style w:type="paragraph" w:styleId="CommentText">
    <w:name w:val="annotation text"/>
    <w:basedOn w:val="Normal"/>
    <w:link w:val="CommentTextChar"/>
    <w:unhideWhenUsed/>
    <w:rsid w:val="00315248"/>
    <w:rPr>
      <w:sz w:val="20"/>
      <w:szCs w:val="20"/>
    </w:rPr>
  </w:style>
  <w:style w:type="character" w:customStyle="1" w:styleId="CommentTextChar">
    <w:name w:val="Comment Text Char"/>
    <w:basedOn w:val="DefaultParagraphFont"/>
    <w:link w:val="CommentText"/>
    <w:uiPriority w:val="99"/>
    <w:rsid w:val="00315248"/>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315248"/>
    <w:rPr>
      <w:b/>
      <w:bCs/>
    </w:rPr>
  </w:style>
  <w:style w:type="character" w:customStyle="1" w:styleId="CommentSubjectChar">
    <w:name w:val="Comment Subject Char"/>
    <w:basedOn w:val="CommentTextChar"/>
    <w:link w:val="CommentSubject"/>
    <w:uiPriority w:val="99"/>
    <w:semiHidden/>
    <w:rsid w:val="00315248"/>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315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48"/>
    <w:rPr>
      <w:rFonts w:ascii="Segoe UI" w:eastAsia="Tahoma" w:hAnsi="Segoe UI" w:cs="Segoe UI"/>
      <w:sz w:val="18"/>
      <w:szCs w:val="18"/>
    </w:rPr>
  </w:style>
  <w:style w:type="table" w:styleId="TableGrid">
    <w:name w:val="Table Grid"/>
    <w:basedOn w:val="TableNormal"/>
    <w:uiPriority w:val="39"/>
    <w:rsid w:val="007A5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73B4"/>
    <w:pPr>
      <w:widowControl/>
      <w:autoSpaceDE/>
      <w:autoSpaceDN/>
    </w:pPr>
    <w:rPr>
      <w:rFonts w:ascii="Tahoma" w:eastAsia="Tahoma" w:hAnsi="Tahoma" w:cs="Tahoma"/>
    </w:rPr>
  </w:style>
  <w:style w:type="paragraph" w:styleId="FootnoteText">
    <w:name w:val="footnote text"/>
    <w:basedOn w:val="Normal"/>
    <w:link w:val="FootnoteTextChar"/>
    <w:uiPriority w:val="99"/>
    <w:semiHidden/>
    <w:unhideWhenUsed/>
    <w:rsid w:val="006A6513"/>
    <w:rPr>
      <w:sz w:val="20"/>
      <w:szCs w:val="20"/>
    </w:rPr>
  </w:style>
  <w:style w:type="character" w:customStyle="1" w:styleId="FootnoteTextChar">
    <w:name w:val="Footnote Text Char"/>
    <w:basedOn w:val="DefaultParagraphFont"/>
    <w:link w:val="FootnoteText"/>
    <w:uiPriority w:val="99"/>
    <w:semiHidden/>
    <w:rsid w:val="006A6513"/>
    <w:rPr>
      <w:rFonts w:ascii="Tahoma" w:eastAsia="Tahoma" w:hAnsi="Tahoma" w:cs="Tahoma"/>
      <w:sz w:val="20"/>
      <w:szCs w:val="20"/>
    </w:rPr>
  </w:style>
  <w:style w:type="character" w:styleId="FootnoteReference">
    <w:name w:val="footnote reference"/>
    <w:basedOn w:val="DefaultParagraphFont"/>
    <w:uiPriority w:val="99"/>
    <w:semiHidden/>
    <w:unhideWhenUsed/>
    <w:rsid w:val="006A6513"/>
    <w:rPr>
      <w:vertAlign w:val="superscript"/>
    </w:rPr>
  </w:style>
  <w:style w:type="paragraph" w:customStyle="1" w:styleId="Default">
    <w:name w:val="Default"/>
    <w:rsid w:val="00D70EA9"/>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e749c2bc-b6a8-4516-8bc8-86a50a292447</TitusGUID>
  <TitusMetadata xmlns="">eyJucyI6Imh0dHA6XC9cL3d3dy50aXR1cy5jb21cL25zXC9BT04iLCJwcm9wcyI6W3sibiI6IkFvbkNsYXNzaWZpY2F0aW9uIiwidmFscyI6W3sidmFsdWUiOiJBRENfY2xhc3NfMzAwIn1dfSx7Im4iOiJBb25SZXN0cmljdGVkIiwidmFscyI6W3sidmFsdWUiOiJBUkxfb3B0aW9uXzAwMCJ9XX0seyJuIjoiQW9uVmlzdWFsTWFya2luZ3MiLCJ2YWxzIjpbeyJ2YWx1ZSI6Ik5vbmU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D8BD8-139D-430E-82C8-4C3E53D66FAD}">
  <ds:schemaRefs>
    <ds:schemaRef ds:uri="http://schemas.titus.com/TitusProperties/"/>
    <ds:schemaRef ds:uri=""/>
  </ds:schemaRefs>
</ds:datastoreItem>
</file>

<file path=customXml/itemProps2.xml><?xml version="1.0" encoding="utf-8"?>
<ds:datastoreItem xmlns:ds="http://schemas.openxmlformats.org/officeDocument/2006/customXml" ds:itemID="{786E3883-479B-4AFC-9CFB-8981C699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3389</Words>
  <Characters>19884</Characters>
  <Application>Microsoft Office Word</Application>
  <DocSecurity>0</DocSecurity>
  <Lines>386</Lines>
  <Paragraphs>129</Paragraphs>
  <ScaleCrop>false</ScaleCrop>
  <HeadingPairs>
    <vt:vector size="2" baseType="variant">
      <vt:variant>
        <vt:lpstr>Title</vt:lpstr>
      </vt:variant>
      <vt:variant>
        <vt:i4>1</vt:i4>
      </vt:variant>
    </vt:vector>
  </HeadingPairs>
  <TitlesOfParts>
    <vt:vector size="1" baseType="lpstr">
      <vt:lpstr>TI Corporate Report Final - WEB</vt:lpstr>
    </vt:vector>
  </TitlesOfParts>
  <Company>London Borough of Southwark</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 Corporate Report Final - WEB</dc:title>
  <dc:creator>Harry Briggs</dc:creator>
  <cp:lastModifiedBy>Shah, Spandan</cp:lastModifiedBy>
  <cp:revision>25</cp:revision>
  <dcterms:created xsi:type="dcterms:W3CDTF">2026-02-17T07:43:00Z</dcterms:created>
  <dcterms:modified xsi:type="dcterms:W3CDTF">2026-03-19T14:22:00Z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Acrobat PDFMaker 22 for Word</vt:lpwstr>
  </property>
  <property fmtid="{D5CDD505-2E9C-101B-9397-08002B2CF9AE}" pid="4" name="LastSaved">
    <vt:filetime>2023-03-13T00:00:00Z</vt:filetime>
  </property>
  <property fmtid="{D5CDD505-2E9C-101B-9397-08002B2CF9AE}" pid="5" name="TitusGUID">
    <vt:lpwstr>e749c2bc-b6a8-4516-8bc8-86a50a292447</vt:lpwstr>
  </property>
  <property fmtid="{D5CDD505-2E9C-101B-9397-08002B2CF9AE}" pid="6" name="AonClassification">
    <vt:lpwstr>ADC_class_300</vt:lpwstr>
  </property>
  <property fmtid="{D5CDD505-2E9C-101B-9397-08002B2CF9AE}" pid="7" name="AonRestricted">
    <vt:lpwstr>ARL_option_000</vt:lpwstr>
  </property>
  <property fmtid="{D5CDD505-2E9C-101B-9397-08002B2CF9AE}" pid="8" name="AonVisualMarkings">
    <vt:lpwstr>None</vt:lpwstr>
  </property>
</Properties>
</file>